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EnergieStV — Andere Energieerzeugnisse als Gasöle</w:t>
      </w:r>
    </w:p>
    <w:p>
      <w:r>
        <w:rPr>
          <w:color w:val="555555"/>
          <w:sz w:val="18"/>
        </w:rPr>
        <w:t xml:space="preserve">Energiesteuer-Durchführungsverordnung</w:t>
      </w:r>
    </w:p>
    <w:p>
      <w:r>
        <w:rPr>
          <w:color w:val="555555"/>
          <w:sz w:val="18"/>
        </w:rPr>
        <w:t xml:space="preserve">Stand: 01.01.2024 (konsolidierte Textfassung, kein amtliches Inkrafttretensdatum)</w:t>
      </w:r>
    </w:p>
    <w:p>
      <w:r>
        <w:t xml:space="preserve">(1) Für andere Energieerzeugnisse als Gasöle, die nach § 2 Abs. 4 des Gesetzes einer ordnungsgemäßen Kennzeichnung bedürfen, gelten die §§ 2 bis 7 sinngemäß. Werden Energieerzeugnisse trotz des Verzichts auf eine Kennzeichnung (§ 2 Absatz 4 Satz 7 des Gesetzes) gekennzeichnet, sind sie ordnungsgemäß zu kennzeichnen; die §§ 2 bis 7 gelten sinngemäß.</w:t>
      </w:r>
    </w:p>
    <w:p>
      <w:r>
        <w:t xml:space="preserve">(2) Auf Antrag kann das Hauptzollamt zulassen, dass Heizöladditive der Position 3811 der Kombinierten Nomenklatur abweichend von § 2 Abs. 3 Satz 1 und Abs. 4 des Gesetzes nicht gekennzeichnet werden, wenn nach den Umständen eine Verwendung der Additive als Kraftstoff oder zur Herstellung oder Verbesserung von Kraftstoff nicht anzunehmen ist. Die Zulassung kann mit Nebenbestimmungen (§ 120 der Abgabenordnung) versehen werden.</w:t>
      </w:r>
    </w:p>
    <w:p>
      <w:r>
        <w:rPr>
          <w:color w:val="555555"/>
          <w:sz w:val="17"/>
        </w:rPr>
        <w:t xml:space="preserve">Zitiervorschlag: § 8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