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77 EnergieStV — Eigenverbrauch</w:t>
      </w:r>
    </w:p>
    <w:p>
      <w:r>
        <w:rPr>
          <w:color w:val="555555"/>
          <w:sz w:val="18"/>
        </w:rPr>
        <w:t xml:space="preserve">Energiesteuer-Durchführungsverordnung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Teile des Kohlebetriebs, in denen Kohle nach § 37 Abs. 2 Satz 1 Nr. 2 des Gesetzes steuerfrei zur Aufrechterhaltung des Betriebs verwendet werden kann, gilt § 59 sinngemäß.</w:t>
      </w:r>
    </w:p>
    <w:p>
      <w:r>
        <w:rPr>
          <w:color w:val="555555"/>
          <w:sz w:val="17"/>
        </w:rPr>
        <w:t xml:space="preserve">Zitiervorschlag: § 77 EnergieStV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https://recht.nulegal.eu/gesetze/EnergieStV/77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