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EnergieStV — Erteilung, Überprüfung und Erlöschen der Erlaubnis</w:t>
      </w:r>
    </w:p>
    <w:p>
      <w:r>
        <w:rPr>
          <w:color w:val="555555"/>
          <w:sz w:val="18"/>
        </w:rPr>
        <w:t xml:space="preserve">Energiesteuer-Durchführungsverordnung</w:t>
      </w:r>
    </w:p>
    <w:p>
      <w:r>
        <w:rPr>
          <w:color w:val="555555"/>
          <w:sz w:val="18"/>
        </w:rPr>
        <w:t xml:space="preserve">Stand: 08.09.2021 (konsolidierte Textfassung, kein amtliches Inkrafttretensdatum)</w:t>
      </w:r>
    </w:p>
    <w:p>
      <w:r>
        <w:t xml:space="preserve">(1) Das Hauptzollamt erteilt schriftlich oder elektronisch die Erlaubnis nach § 37 Abs. 1 des Gesetzes (förmliche Einzelerlaubnis) und stellt einen Erlaubnisschein als Nachweis der Bezugsberechtigung aus. Die Erlaubnis kann mit Nebenbestimmungen nach § 120 Absatz 2 der Abgabenordnung verbunden werden.</w:t>
      </w:r>
    </w:p>
    <w:p>
      <w:r>
        <w:t xml:space="preserve">(2) Für die Überprüfung und das Erlöschen der Erlaubnis gilt § 54 sinngemäß.</w:t>
      </w:r>
    </w:p>
    <w:p>
      <w:r>
        <w:t xml:space="preserve">(3) Unbeschadet Absatz 2 ist die Erlaubnis zur steuerfreien Verwendung von Kohle nach § 37 Abs. 2 Satz 1 Nr. 4 in Verbindung mit § 51 Abs. 1 Nr. 1 des Gesetzes zu widerrufen, wenn das Unternehmen auf Grund der nach § 75 Abs. 2a jährlich vorzulegenden Beschreibung nicht dem Produzierenden Gewerbe zugeordnet werden kann. Legt der Erlaubnisinhaber die Beschreibung nach Satz 1 nicht oder nicht fristgerecht vor, kann das Hauptzollamt die Erlaubnis unmittelbar widerrufen.</w:t>
      </w:r>
    </w:p>
    <w:p>
      <w:r>
        <w:t xml:space="preserve">(4) Wird die Erlaubnis nach Absatz 3 Satz 1 oder Satz 2 widerrufen, gilt die auf Grund der Erlaubnis seit 1. Januar des Kalenderjahres, in dem die Beschreibung nach § 75 Abs. 2a vorzulegen war, steuerfrei bezogene Kohle als entgegen der Zweckbestimmung verwendet (§ 37 Abs. 3 des Gesetzes). Abweichend von § 37 Abs. 3 des Gesetzes bestimmt das Hauptzollamt die Frist für die Abgabe der Steueranmeldung und den Zeitpunkt der Fälligkeit der Steuer.</w:t>
      </w:r>
    </w:p>
    <w:p>
      <w:r>
        <w:rPr>
          <w:color w:val="555555"/>
          <w:sz w:val="17"/>
        </w:rPr>
        <w:t xml:space="preserve">Zitiervorschlag: § 73 EnergieStV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https://recht.nulegal.eu/gesetze/EnergieStV/73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