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EnergieStV — Antrag auf Erlaubnis als Kohleverwender</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 Kohle steuerfrei verwenden will, hat die Erlaubnis nach § 37 Absatz 1 des Gesetzes, soweit sie nicht allgemein erteilt ist (§ 74), schriftlich beim Hauptzollamt zu beantragen.</w:t>
      </w:r>
    </w:p>
    <w:p>
      <w:r>
        <w:t xml:space="preserve">(2) In dem Antrag ist der Verwendungszweck anzugeben und ob versteuerte Kohle gelagert oder verwendet wird. Dem Antrag sind beizufügen:</w:t>
      </w:r>
    </w:p>
    <w:p>
      <w:pPr>
        <w:ind w:left="420"/>
      </w:pPr>
      <w:r>
        <w:t xml:space="preserve">1. eine Beschreibung der Betriebs- und Lagerräume und der mit ihnen in Verbindung stehenden oder an sie angrenzenden Räume sowie in zweifacher Ausfertigung ein Plan der Betriebsanlage, in dem die Einrichtungen für die Lagerung steuerfreier Kohle kenntlich gemacht sind,</w:t>
      </w:r>
    </w:p>
    <w:p>
      <w:pPr>
        <w:ind w:left="420"/>
      </w:pPr>
      <w:r>
        <w:t xml:space="preserve">2. eine Betriebserklärung, in der die Verwendung der Kohle genau beschrieben ist,</w:t>
      </w:r>
    </w:p>
    <w:p>
      <w:pPr>
        <w:ind w:left="420"/>
      </w:pPr>
      <w:r>
        <w:t xml:space="preserve">2a. eine Beschreibung der wirtschaftlichen Tätigkeiten des Unternehmens nach amtlich vorgeschriebenem Vordruck, wenn im Fall des § 37 Absatz 2 Satz 1 Nummer 4 des Gesetzes Kohle steuerfrei für Prozesse und Verfahren nach § 51 Absatz 1 Nummer 1 des Gesetzes verwendet werden soll; die Beschreibung muss es dem Hauptzollamt ermöglichen, das Unternehmen dem Produzierenden Gewerbe zuzuordnen; der maßgebende Zeitraum für die Zuordnung des Unternehmens zum Produzierenden Gewerbe bestimmt sich nach § 15 Absatz 3 Satz 1 der Stromsteuer-Durchführungsverordnung,</w:t>
      </w:r>
    </w:p>
    <w:p>
      <w:pPr>
        <w:ind w:left="420"/>
      </w:pPr>
      <w:r>
        <w:t xml:space="preserve">3. eine Darstellung der Buchführung über den Bezug und die Verwendung der steuerfreien Kohle,</w:t>
      </w:r>
    </w:p>
    <w:p>
      <w:pPr>
        <w:ind w:left="420"/>
      </w:pPr>
      <w:r>
        <w:t xml:space="preserve">4. von Unternehmen, die in das Handels-, Genossenschafts- oder Vereinsregister eingetragen sind, ein Registerauszug nach dem neuesten Stand,</w:t>
      </w:r>
    </w:p>
    <w:p>
      <w:pPr>
        <w:ind w:left="420"/>
      </w:pPr>
      <w:r>
        <w:t xml:space="preserve">5. gegebenenfalls die Erklärung über die Bestellung eines Beauftragten nach § 214 der Abgabenordnung oder eines Betriebsleiters nach § 62 des Gesetzes, in der dieser sein Einverständnis erklärt hat.</w:t>
      </w:r>
    </w:p>
    <w:p>
      <w:r>
        <w:t xml:space="preserve">(3) Der Antragsteller hat auf Verlangen des Hauptzollamts weitere Angaben zu machen, wenn sie zur Sicherung des Steueraufkommens oder für die Steueraufsicht erforderlich erscheinen. Das Hauptzollamt kann auf Angaben verzichten, soweit die Steuerbelange dadurch nicht beeinträchtigt werden.</w:t>
      </w:r>
    </w:p>
    <w:p>
      <w:r>
        <w:rPr>
          <w:color w:val="555555"/>
          <w:sz w:val="17"/>
        </w:rPr>
        <w:t xml:space="preserve">Zitiervorschlag: § 72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