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 EnergieStV — Einfuhr von Kohle</w:t>
      </w:r>
    </w:p>
    <w:p>
      <w:r>
        <w:rPr>
          <w:color w:val="555555"/>
          <w:sz w:val="18"/>
        </w:rPr>
        <w:t xml:space="preserve">Energiesteuer-Durchführungsverordnung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Kohle aus Drittländern und Drittgebieten ist in den Fällen des § 35 des Gesetzes in Verbindung mit § 19b Absatz 3 des Gesetzes nach den Zollvorschriften mit den für die Besteuerung maßgeblichen Merkmalen anzumelden. Die Steuererklärung ist in der Zollanmeldung oder nach amtlich vorgeschriebenem Vordruck abzugeben.</w:t>
      </w:r>
    </w:p>
    <w:p>
      <w:r>
        <w:t xml:space="preserve">(2) Soll Kohle im Anschluss an die Überführung in den steuerrechtlich freien Verkehr in den Betrieb des Inhabers einer Erlaubnis nach § 31 Absatz 4 oder § 37 Absatz 1 des Gesetzes befördert werden, ist dies mit der Zollanmeldung schriftlich zu beantragen. Dem Antrag ist, soweit die Erlaubnis nicht allgemein erteilt ist, der Erlaubnisschein beizufügen.</w:t>
      </w:r>
    </w:p>
    <w:p>
      <w:r>
        <w:rPr>
          <w:color w:val="555555"/>
          <w:sz w:val="17"/>
        </w:rPr>
        <w:t xml:space="preserve">Zitiervorschlag: § 71 EnergieStV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https://recht.nulegal.eu/gesetze/EnergieStV/71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