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EnergieStV — Verbringen von Kohle in das Steuergebiet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Wird Kohle aus einem anderen Mitgliedstaat in das Steuergebiet verbracht, finden sinngemäß Anwendung</w:t>
      </w:r>
    </w:p>
    <w:p>
      <w:pPr>
        <w:ind w:left="420"/>
      </w:pPr>
      <w:r>
        <w:t xml:space="preserve">1. die §§ 38 und 38a in den Fällen, in denen die §§ 15 bis 15c des Gesetzes nach § 34 des Gesetzes sinngemäß gilt,</w:t>
      </w:r>
    </w:p>
    <w:p>
      <w:pPr>
        <w:ind w:left="420"/>
      </w:pPr>
      <w:r>
        <w:t xml:space="preserve">2. § 42 in den Fällen, in denen § 18 des Gesetzes nach § 34 des Gesetzes sinngemäß gilt.</w:t>
      </w:r>
    </w:p>
    <w:p>
      <w:r>
        <w:rPr>
          <w:color w:val="555555"/>
          <w:sz w:val="17"/>
        </w:rPr>
        <w:t xml:space="preserve">Zitiervorschlag: § 70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