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EnergieStV — Erteilung, Überprüfung und Erlöschen der Erlaubnis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08.09.2021 (konsolidierte Textfassung, kein amtliches Inkrafttretensdatum)</w:t>
      </w:r>
    </w:p>
    <w:p>
      <w:r>
        <w:t xml:space="preserve">(1) Das Hauptzollamt erteilt schriftlich oder elektronisch die Erlaubnis nach § 31 Abs. 4 des Gesetzes und stellt einen Erlaubnisschein als Nachweis der Bezugsberechtigung aus. Die Erlaubnis kann mit Nebenbestimmungen nach § 120 Absatz 2 der Abgabenordnung verbunden werden.</w:t>
      </w:r>
    </w:p>
    <w:p>
      <w:r>
        <w:t xml:space="preserve">(2) Für die Überprüfung der Erlaubnis gilt § 14 Absatz 1b entsprechend. Für das Erlöschen der Erlaubnis gilt § 14 Absatz 2 bis 7 entsprechend.</w:t>
      </w:r>
    </w:p>
    <w:p>
      <w:r>
        <w:rPr>
          <w:color w:val="555555"/>
          <w:sz w:val="17"/>
        </w:rPr>
        <w:t xml:space="preserve">Zitiervorschlag: § 66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