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EnergieStV — Pflichten des Betriebsinhabers</w:t>
      </w:r>
    </w:p>
    <w:p>
      <w:r>
        <w:rPr>
          <w:color w:val="555555"/>
          <w:sz w:val="18"/>
        </w:rPr>
        <w:t xml:space="preserve">Energiesteuer-Durchführungsverordnung</w:t>
      </w:r>
    </w:p>
    <w:p>
      <w:r>
        <w:rPr>
          <w:color w:val="555555"/>
          <w:sz w:val="18"/>
        </w:rPr>
        <w:t xml:space="preserve">Stand: 10.06.2019 (konsolidierte Textfassung, kein amtliches Inkrafttretensdatum)</w:t>
      </w:r>
    </w:p>
    <w:p>
      <w:r>
        <w:t xml:space="preserve">(1) Der Inhaber des Kohlebetriebs hat ein Belegheft zu führen. Das Hauptzollamt kann dazu Anordnungen treffen.</w:t>
      </w:r>
    </w:p>
    <w:p>
      <w:r>
        <w:t xml:space="preserve">(2) Der Inhaber des Kohlebetriebs hat Aufzeichnungen zu führen, aus denen für den jeweiligen Abrechnungszeitraum unter Angabe der für die Besteuerung maßgeblichen Merkmale ersichtlich sein müssen:</w:t>
      </w:r>
    </w:p>
    <w:p>
      <w:pPr>
        <w:ind w:left="420"/>
      </w:pPr>
      <w:r>
        <w:t xml:space="preserve">1. die Menge der Kohle, für die die Steuer nach § 32 Abs. 1 Satz 1 Nr. 1 oder Nr. 3 des Gesetzes entstanden ist,</w:t>
      </w:r>
    </w:p>
    <w:p>
      <w:pPr>
        <w:ind w:left="420"/>
      </w:pPr>
      <w:r>
        <w:t xml:space="preserve">2. die Menge der unversteuert an Inhaber einer Erlaubnis nach § 31 Abs. 4 oder § 37 Abs. 1 des Gesetzes gelieferten Kohle unter Angabe des Namens und der Anschrift des Empfängers sowie dessen Bezugsberechtigung,</w:t>
      </w:r>
    </w:p>
    <w:p>
      <w:pPr>
        <w:ind w:left="420"/>
      </w:pPr>
      <w:r>
        <w:t xml:space="preserve">3. die Menge der unversteuert aus dem Steuergebiet verbrachten oder ausgeführten Kohle unter Angabe des Namens und der Anschrift des Empfängers.</w:t>
      </w:r>
    </w:p>
    <w:p>
      <w:r>
        <w:t xml:space="preserve">Die Aufzeichnungen müssen so beschaffen sein, dass es einem sachverständigen Dritten innerhalb einer angemessenen Frist möglich ist, die Grundlagen für die Besteuerung festzustellen. Das Hauptzollamt kann weitere Aufzeichnungen vorschreiben oder besondere Anordnungen zu den Aufzeichnungen treffen, wenn dies zur Sicherung des Steueraufkommens oder für die Steueraufsicht erforderlich erscheint. Es kann einfachere Aufzeichnungen zulassen, soweit die Steuerbelange dadurch nicht beeinträchtigt werden.</w:t>
      </w:r>
    </w:p>
    <w:p>
      <w:r>
        <w:t xml:space="preserve">(3) Das Hauptzollamt kann eine Bestandsaufnahme anordnen. Es trifft in diesem Fall besondere Regelungen.</w:t>
      </w:r>
    </w:p>
    <w:p>
      <w:r>
        <w:t xml:space="preserve">(4) Die mit der Steueraufsicht betrauten Amtsträger können für steuerliche Zwecke unentgeltlich Proben von Kohle zur Untersuchung entnehmen.</w:t>
      </w:r>
    </w:p>
    <w:p>
      <w:r>
        <w:t xml:space="preserve">(5) Der Inhaber des Kohlebetriebs hat dem Hauptzollamt Änderungen der nach § 62 Abs. 2 angegebenen Verhältnisse, Überschuldung, drohende oder eingetretene Zahlungsunfähigkeit, Zahlungseinstellung und Stellung des Antrags auf Eröffnung eines Insolvenzverfahrens unverzüglich schriftlich anzuzeigen.</w:t>
      </w:r>
    </w:p>
    <w:p>
      <w:r>
        <w:rPr>
          <w:color w:val="555555"/>
          <w:sz w:val="17"/>
        </w:rPr>
        <w:t xml:space="preserve">Zitiervorschlag: § 64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