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EnergieStV — Bewilligung des Kennzeichnungsbetriebs</w:t>
      </w:r>
    </w:p>
    <w:p>
      <w:r>
        <w:rPr>
          <w:color w:val="555555"/>
          <w:sz w:val="18"/>
        </w:rPr>
        <w:t xml:space="preserve">Energiesteuer-Durchführungsverordnung</w:t>
      </w:r>
    </w:p>
    <w:p>
      <w:r>
        <w:rPr>
          <w:color w:val="555555"/>
          <w:sz w:val="18"/>
        </w:rPr>
        <w:t xml:space="preserve">Stand: 01.01.2021 (konsolidierte Textfassung, kein amtliches Inkrafttretensdatum)</w:t>
      </w:r>
    </w:p>
    <w:p>
      <w:r>
        <w:t xml:space="preserve">(1) Das Hauptzollamt bewilligt Inhabern von Steuerlagern, die Gasöle der Unterpositionen 2710 19 43 bis 2710 19 48 und der Unterpositionen 2710 20 11 bis 2710 20 19 der Kombinierten Nomenklatur unter Steueraussetzung beziehen und lagern dürfen, und Dienstleistungsbetrieben, die unter Steueraussetzung stehendes Gasöl Dritter für diese lagern, unter Widerrufsvorbehalt schriftlich oder elektronisch die Kennzeichnung, wenn die folgenden Voraussetzungen erfüllt sind:</w:t>
      </w:r>
    </w:p>
    <w:p>
      <w:pPr>
        <w:ind w:left="420"/>
      </w:pPr>
      <w:r>
        <w:t xml:space="preserve">1. Gegen die steuerliche Zuverlässigkeit des Antragstellers dürfen keine Bedenken bestehen,</w:t>
      </w:r>
    </w:p>
    <w:p>
      <w:pPr>
        <w:ind w:left="420"/>
      </w:pPr>
      <w:r>
        <w:t xml:space="preserve">2. Die Kennzeichnungseinrichtungen müssen zugelassen sein und entsprechend der Zulassung installiert und verwendet werden,</w:t>
      </w:r>
    </w:p>
    <w:p>
      <w:pPr>
        <w:ind w:left="420"/>
      </w:pPr>
      <w:r>
        <w:t xml:space="preserve">3. Die Kennzeichnungseinrichtung und andere Anlagenteile, in denen der Ablauf des Kennzeichnungsvorgangs beeinflusst werden kann, müssen durch amtliche Verschlüsse gegen unbefugte Eingriffe gesichert sein. Wenn eine Gefährdung der Steuerbelange nicht zu befürchten ist, kann das Hauptzollamt Firmenverschlüsse zulassen oder darüber hinaus auf Verschlüsse verzichten, soweit durch bauliche oder andere Einrichtungen sichergestellt ist, dass der Kennzeichnungsvorgang nicht unbefugt beeinflusst werden kann,</w:t>
      </w:r>
    </w:p>
    <w:p>
      <w:pPr>
        <w:ind w:left="420"/>
      </w:pPr>
      <w:r>
        <w:t xml:space="preserve">4. Eine Vermischung von leichtem Heizöl mit nicht gekennzeichnetem Gasöl muss ausgeschlossen sein; § 47 bleibt unberührt,</w:t>
      </w:r>
    </w:p>
    <w:p>
      <w:pPr>
        <w:ind w:left="420"/>
      </w:pPr>
      <w:r>
        <w:t xml:space="preserve">5. Die Kennzeichnungsstoffe müssen auch in der kleinsten nach den betrieblichen Verhältnissen in Betracht kommenden Abgabemenge an leichtem Heizöl in dem nach § 2 Abs. 1 bestimmten Mengenverhältnis gleichmäßig verteilt enthalten sein.</w:t>
      </w:r>
    </w:p>
    <w:p>
      <w:r>
        <w:t xml:space="preserve">Die Bewilligung ist zu widerrufen, wenn eine der in Satz 1 Nr. 1 bis 5 genannten Voraussetzungen nicht mehr erfüllt ist.</w:t>
      </w:r>
    </w:p>
    <w:p>
      <w:r>
        <w:t xml:space="preserve">(2) Das Hauptzollamt kann die Bewilligung der Kennzeichnung mit Nebenbestimmungen nach § 120 Absatz 2 der Abgabenordnung versehen, die eine Gefährdung der Steuerbelange ausschließen sollen.</w:t>
      </w:r>
    </w:p>
    <w:p>
      <w:r>
        <w:rPr>
          <w:color w:val="555555"/>
          <w:sz w:val="17"/>
        </w:rPr>
        <w:t xml:space="preserve">Zitiervorschlag: § 6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