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EnergieStV — Verwendung zu anderen Zwecken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Verwendung von Schmierstoffen zur Herstellung von Zweitaktergemischen ist keine Verwendung im Sinne des § 25 Abs. 1 Satz 1 Nr. 2 des Gesetzes.</w:t>
      </w:r>
    </w:p>
    <w:p>
      <w:r>
        <w:t xml:space="preserve">(2) Eine Untersuchung im Sinne des § 25 Abs. 2 des Gesetzes ist nur die im Laboratorium übliche chemisch-technische Prüfung.</w:t>
      </w:r>
    </w:p>
    <w:p>
      <w:r>
        <w:rPr>
          <w:color w:val="555555"/>
          <w:sz w:val="17"/>
        </w:rPr>
        <w:t xml:space="preserve">Zitiervorschlag: § 58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