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53 EnergieStV — Erteilung der Erlaubnis</w:t>
      </w:r>
    </w:p>
    <w:p>
      <w:r>
        <w:rPr>
          <w:color w:val="555555"/>
          <w:sz w:val="18"/>
        </w:rPr>
        <w:t xml:space="preserve">Energiesteuer-Durchführungsverordnung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Das Hauptzollamt erteilt schriftlich oder elektronisch die Erlaubnis nach § 52 Abs. 1 oder Abs. 4 (förmliche Einzelerlaubnis) und stellt einen Erlaubnisschein als Nachweis der Bezugsberechtigung aus. Die Erlaubnis kann mit Nebenbestimmungen nach § 120 Absatz 2 der Abgabenordnung verbunden werden.</w:t>
      </w:r>
    </w:p>
    <w:p>
      <w:r>
        <w:rPr>
          <w:color w:val="555555"/>
          <w:sz w:val="17"/>
        </w:rPr>
        <w:t xml:space="preserve">Zitiervorschlag: § 53 EnergieStV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https://recht.nulegal.eu/gesetze/EnergieStV/53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