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EnergieStV — Antrag auf Bewilligung des Kennzeichnungsbetriebs</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(1) Inhaber von Betrieben, in denen Gasöle der Unterpositionen 2710 19 43 bis 2710 19 48 und der Unterpositionen 2710 20 11 bis 2710 20 19 der Kombinierten Nomenklatur gekennzeichnet werden sollen, haben die Bewilligung spätestens sechs Wochen vor der beabsichtigten Aufnahme der Kennzeichnung beim Hauptzollamt schriftlich zu beantragen.</w:t>
      </w:r>
    </w:p>
    <w:p>
      <w:r>
        <w:t xml:space="preserve">(2) Dem Antrag sind beizufügen:</w:t>
      </w:r>
    </w:p>
    <w:p>
      <w:pPr>
        <w:ind w:left="420"/>
      </w:pPr>
      <w:r>
        <w:t xml:space="preserve">1. eine Darstellung des gesamten technischen Ablaufs der Kennzeichnung einschließlich der vorgesehenen Kennzeichnungseinrichtungen, -stoffe und -lösungen,</w:t>
      </w:r>
    </w:p>
    <w:p>
      <w:pPr>
        <w:ind w:left="420"/>
      </w:pPr>
      <w:r>
        <w:t xml:space="preserve">2. die Zulassung der Kennzeichnungseinrichtungen (§ 4) und die Erklärung des Antragstellers oder des Herstellers der Kennzeichnungseinrichtungen darüber, dass die eingebauten oder einzubauenden Kennzeichnungseinrichtungen der Zulassung entsprechen,</w:t>
      </w:r>
    </w:p>
    <w:p>
      <w:pPr>
        <w:ind w:left="420"/>
      </w:pPr>
      <w:r>
        <w:t xml:space="preserve">3. eine Darstellung der für die Mengenermittlung des leichten Heizöls vorgesehenen Einrichtungen,</w:t>
      </w:r>
    </w:p>
    <w:p>
      <w:pPr>
        <w:ind w:left="420"/>
      </w:pPr>
      <w:r>
        <w:t xml:space="preserve">4. eine Zeichnung und Beschreibung der Lagerstätten für Gasöl, aus denen dieses den für die Kennzeichnung bestimmten Einrichtungen zugeführt und in denen es nach der Kennzeichnung als leichtes Heizöl gelagert oder aus Zapfstellen abgegeben werden soll,</w:t>
      </w:r>
    </w:p>
    <w:p>
      <w:pPr>
        <w:ind w:left="420"/>
      </w:pPr>
      <w:r>
        <w:t xml:space="preserve">5. ein Gesamtplan der Rohrleitungen mit allen Abzweigungen, der Lagerbehälter, der Kennzeichnungseinrichtungen, der Zapfstellen und der Entnahmestellen, in dem alle Einrichtungen, aus denen Gasöl, leichtes Heizöl oder Kennzeichnungslösung entnommen werden können, besonders zu bezeichnen sind,</w:t>
      </w:r>
    </w:p>
    <w:p>
      <w:pPr>
        <w:ind w:left="420"/>
      </w:pPr>
      <w:r>
        <w:t xml:space="preserve">6. eine Darstellung der Maßnahmen zur Sicherung der Kennzeichnungseinrichtungen und damit zusammenhängender Anlagen gegen unbefugte Eingriffe,</w:t>
      </w:r>
    </w:p>
    <w:p>
      <w:pPr>
        <w:ind w:left="420"/>
      </w:pPr>
      <w:r>
        <w:t xml:space="preserve">7. gegebenenfalls eine Erklärung über die Bestellung eines Beauftragten nach § 214 der Abgabenordnung oder eines Betriebsleiters nach § 62 Abs. 1 des Gesetzes, in der dieser sein Einverständnis erklärt hat.</w:t>
      </w:r>
    </w:p>
    <w:p>
      <w:r>
        <w:t xml:space="preserve">(3) Auf Verlangen des Hauptzollamts hat der Antragsteller weitere Angaben zu machen oder zusätzliche Unterlagen vorzulegen, wenn diese Angaben oder diese Unterlagen für die Erteilung der Bewilligung erforderlich erscheinen. Das Hauptzollamt kann auf einzelne Anforderungen verzichten, wenn sie zur Darstellung des Ablaufs der Kennzeichnung nicht erforderlich sind oder wenn im Fall des Absatzes 2 Nr. 5 ein Gesamtplan schon vorliegt.</w:t>
      </w:r>
    </w:p>
    <w:p>
      <w:r>
        <w:rPr>
          <w:color w:val="555555"/>
          <w:sz w:val="17"/>
        </w:rPr>
        <w:t xml:space="preserve">Zitiervorschlag: § 5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