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49b EnergieStV — Nachweise für die Vorversteuerung</w:t>
      </w:r>
    </w:p>
    <w:p>
      <w:r>
        <w:rPr>
          <w:color w:val="555555"/>
          <w:sz w:val="18"/>
        </w:rPr>
        <w:t xml:space="preserve">Energiesteuer-Durchführungsverordnung</w:t>
      </w:r>
    </w:p>
    <w:p>
      <w:r>
        <w:rPr>
          <w:color w:val="555555"/>
          <w:sz w:val="18"/>
        </w:rPr>
        <w:t xml:space="preserve">Stand: 08.09.2021 (konsolidierte Textfassung, kein amtliches Inkrafttretensdatum)</w:t>
      </w:r>
    </w:p>
    <w:p>
      <w:r>
        <w:t xml:space="preserve">Der Steuerschuldner hat den Nachweis nach § 23 Absatz 1b des Gesetzes durch geeignete Unterlagen zu führen. Geeignete Unterlagen sind insbesondere Zahlungsbelege, Frachtbriefe, Ladescheine, Lieferscheine oder Löschberichte. Auf Verlangen des Hauptzollamts hat der Steuerschuldner weitere Angaben zu machen oder zusätzliche Unterlagen vorzulegen, wenn diese Angaben oder diese Unterlagen zur Sicherung des Steueraufkommens erforderlich erscheint.</w:t>
      </w:r>
    </w:p>
    <w:p>
      <w:r>
        <w:rPr>
          <w:color w:val="555555"/>
          <w:sz w:val="17"/>
        </w:rPr>
        <w:t xml:space="preserve">Zitiervorschlag: § 49b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https://recht.nulegal.eu/gesetze/EnergieStV/49b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