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EnergieStV — Spülvorgänge und sonstige Vermischungen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Auf Antrag kann das Hauptzollamt zulassen, dass in Betrieben bei der Reinigung von Transportmitteln, Lagerbehältern und Rohrleitungen leichtes Heizöl und nicht gekennzeichnete Energieerzeugnisse in der notwendigen Menge miteinander vermischt werden. Die Generalzolldirektion legt im Verwaltungswege fest, mit welchen Auflagen und Nebenbestimmungen im Sinne des § 120 der Abgabenordnung die Zulassung zu versehen ist. Der Inhaber des Betriebs hat über die vermischten Energieerzeugnisse Aufzeichnungen zu führen. § 7 Absatz 2 Satz 6 und 7 und § 14 Absatz 1b gelten entsprechend.</w:t>
      </w:r>
    </w:p>
    <w:p>
      <w:r>
        <w:t xml:space="preserve">(2) Auf Antrag des Verwenders kann das Hauptzollamt zulassen, dass leichtes Heizöl mit nicht gekennzeichneten Energieerzeugnissen oder Wasser vermischt wird, wenn das Gemisch zu Zwecken nach § 2 Abs. 3 Satz 1 des Gesetzes verwendet wird, die Vermischung im Hauptbehälter der jeweiligen Anlage erfolgt und eine andere Verwendung oder die Abgabe des Gemisches nicht zu befürchten ist. § 14 Absatz 1b gilt entsprechend.</w:t>
      </w:r>
    </w:p>
    <w:p>
      <w:r>
        <w:t xml:space="preserve">(3) Heizöladditive der Position 3811 der Kombinierten Nomenklatur, auf deren Kennzeichnung verzichtet worden ist (§ 8 Abs. 2), dürfen mit leichtem Heizöl gemischt werden.</w:t>
      </w:r>
    </w:p>
    <w:p>
      <w:r>
        <w:t xml:space="preserve">(4) Ist leichtes Heizöl versehentlich mit nicht gekennzeichneten Gasölen der Unterpositionen 2710 19 43 bis 2710 19 48 und der Unterpositionen 2710 20 11 bis 2710 20 19 der Kombinierten Nomenklatur vermischt worden, gilt § 7 Absatz 2 Satz 6 bis 8 sinngemäß. Handelt es sich um eine versehentliche Vermischung, für die der Verfügungsberechtigte beabsichtigt, eine Entlastung nach § 48 Absatz 1 Satz 1 Nummer 1 zweite Alternative des Energiesteuergesetzes zu beantragen, so hat er die Vermischung dem Hauptzollamt unverzüglich anzuzeigen.</w:t>
      </w:r>
    </w:p>
    <w:p>
      <w:r>
        <w:t xml:space="preserve">(5) Die Absätze 1 bis 4 gelten sinngemäß für gekennzeichnete Energieerzeugnisse nach § 2 Abs. 4 des Gesetzes.</w:t>
      </w:r>
    </w:p>
    <w:p>
      <w:r>
        <w:rPr>
          <w:color w:val="555555"/>
          <w:sz w:val="17"/>
        </w:rPr>
        <w:t xml:space="preserve">Zitiervorschlag: § 49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