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EnergieStV — Verkehrs-, Verbringungs- und Verwendungsbeschränkungen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Energieerzeugnisse, die zugelassene Kennzeichnungsstoffe enthalten, dürfen nicht mit anderen Energieerzeugnissen gemischt sowie nicht als Kraftstoff bereitgehalten, abgegeben, mitgeführt oder verwendet werden, es sei denn, die Vermischung erfolgt zu den in § 25 Absatz 1 des Gesetzes genannten Zwecken oder ist nach § 47 Abs. 2 oder Abs. 3, § 48 Abs. 1 oder § 49 zulässig oder das Bereithalten, Abgeben, Mitführen oder die Verwendung als Kraftstoff erfolgt zu den in § 2 Abs. 3 Satz 1, § 26 oder § 27 Abs. 1 des Gesetzes genannten Zwecken oder ist nach § 47 Abs. 5, § 48 Abs. 5, § 61 oder Absatz 2 Satz 2 zulässig. Die Kennzeichnungsstoffe dürfen nicht entfernt oder in ihrer Wirksamkeit beeinträchtigt werden. Dies gilt nicht für die Aufarbeitung in Herstellungsbetrieben.</w:t>
      </w:r>
    </w:p>
    <w:p>
      <w:r>
        <w:t xml:space="preserve">(2) Gasöle der Unterpositionen 2710 19 43 bis 2710 19 48 und der Unterpositionen 2710 20 11 bis 2710 20 19 der Kombinierten Nomenklatur und ihnen gleichgestellte Energieerzeugnisse nach § 2 Absatz 4 des Gesetzes dürfen nur dann mit zugelassenen Kennzeichnungsstoffen oder anderen rot färbenden Stoffen vermischt in das Steuergebiet verbracht oder eingeführt, in den Verkehr gebracht oder verwendet werden, wenn</w:t>
      </w:r>
    </w:p>
    <w:p>
      <w:pPr>
        <w:ind w:left="420"/>
      </w:pPr>
      <w:r>
        <w:t xml:space="preserve">1. sie zu den in § 2 Absatz 3 Satz 1, § 25 Absatz 1, § 26 oder § 27 Absatz 1 des Gesetzes genannten Zwecken bestimmt sind, oder</w:t>
      </w:r>
    </w:p>
    <w:p>
      <w:pPr>
        <w:ind w:left="420"/>
      </w:pPr>
      <w:r>
        <w:t xml:space="preserve">2. das Verbringen oder die Einfuhr in das Steuergebiet in Verbindung mit einer Verwendung nach § 61 Absatz 1 Satz 1 Nummer 2 zulässig ist;</w:t>
      </w:r>
    </w:p>
    <w:p>
      <w:r>
        <w:t xml:space="preserve">das Hauptzollamt kann in besonderen Einzelfällen Ausnahmen zulassen. Abweichend von Satz 1 dürfen Energieerzeugnisse, die zugelassene Kennzeichnungsstoffe oder andere rot färbende Stoffe enthalten, als Kraftstoff in das Steuergebiet verbracht und verwendet werden, wenn sie in Hauptbehältern von Fahrzeugen, Spezialcontainern, Arbeitsmaschinen und -geräten sowie Kühl- und Klimaanlagen enthalten sind und wenn die Verwendung der Energieerzeugnisse als Kraftstoff</w:t>
      </w:r>
    </w:p>
    <w:p>
      <w:pPr>
        <w:ind w:left="420"/>
      </w:pPr>
      <w:r>
        <w:t xml:space="preserve">1. in Fahrzeugen, ausgenommen Wasserfahrzeuge der privaten nicht gewerblichen Schifffahrt im Sinn des § 60 Absatz 3, in dem Land der Fahrzeugzulassung erlaubt ist,</w:t>
      </w:r>
    </w:p>
    <w:p>
      <w:pPr>
        <w:ind w:left="420"/>
      </w:pPr>
      <w:r>
        <w:t xml:space="preserve">2. in Wasserfahrzeugen der privaten nicht gewerblichen Schifffahrt im Sinn des § 60 Absatz 3 in dem Land der Betankung erlaubt ist,</w:t>
      </w:r>
    </w:p>
    <w:p>
      <w:pPr>
        <w:ind w:left="420"/>
      </w:pPr>
      <w:r>
        <w:t xml:space="preserve">3. in Spezialcontainern, Arbeitsmaschinen und -geräten sowie Kühl- und Klimaanlagen in dem Land, in dem der Besitzer seinen Firmensitz hat, erlaubt ist und sie nach ihrem Arbeitseinsatz regelmäßig dorthin zurückkehren.</w:t>
      </w:r>
    </w:p>
    <w:p>
      <w:r>
        <w:rPr>
          <w:color w:val="555555"/>
          <w:sz w:val="17"/>
        </w:rPr>
        <w:t xml:space="preserve">Zitiervorschlag: § 46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