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38f EnergieStV — Beförderung im Ausfallverfahren</w:t>
      </w:r>
    </w:p>
    <w:p>
      <w:r>
        <w:rPr>
          <w:color w:val="555555"/>
          <w:sz w:val="18"/>
        </w:rPr>
        <w:t xml:space="preserve">Energiesteuer-Durchführungsverordnung</w:t>
      </w:r>
    </w:p>
    <w:p>
      <w:r>
        <w:rPr>
          <w:color w:val="555555"/>
          <w:sz w:val="18"/>
        </w:rPr>
        <w:t xml:space="preserve">Stand: 01.01.2024 (konsolidierte Textfassung, kein amtliches Inkrafttretensdatum)</w:t>
      </w:r>
    </w:p>
    <w:p>
      <w:r>
        <w:t xml:space="preserve">Steht das EDV-gestützte Beförderungs- und Kontrollsystem nicht zur Verfügung und kann das vereinfachte elektronische Verwaltungsdokument somit nicht angewendet werden, gelten für das Ausfallverfahren die §§ 36, 36b bis 36d entsprechend. In diesem Fall sind Ausfalldokumente nach amtlich vorgeschriebenem Vordruck zu verwenden.</w:t>
      </w:r>
    </w:p>
    <w:p>
      <w:r>
        <w:rPr>
          <w:color w:val="555555"/>
          <w:sz w:val="17"/>
        </w:rPr>
        <w:t xml:space="preserve">Zitiervorschlag: § 38f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https://recht.nulegal.eu/gesetze/EnergieStV/38f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