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38e EnergieStV — Eingangsmeldung bei Verwendung des vereinfachten elektronischen Verwaltungsdokuments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Nach Aufnahme der Energieerzeugnisse im Sinn des § 4 des Gesetzes, auch von Teilmengen, an einem vom Erlaubnisumfang erfassten Bestimmungsort hat der zertifizierte Empfänger dem Hauptzollamt unter Verwendung des EDV-gestützten Beförderungs- und Kontrollsystems unverzüglich, spätestens jedoch fünf Werktage nach Beendigung der Beförderung, eine Eingangsmeldung mit dem in dem delegierten Rechtsakt nach Artikel 43 Absatz 1 Systemrichtlinie in seiner jeweils gültigen Fassung vorgeschriebenem Datensatz zu übermitteln. Das Verbringen oder Verbringenlassen von Energieerzeugnissen in das Steuergebiet steht der Aufnahme nach Satz 1 gleich, sofern die Energieerzeugnisse nach § 15 Absatz 1 Satz 3 des Gesetzes außerhalb des Steuergebiets in Empfang genommen wurden. Das Hauptzollamt kann zur Vermeidung unbilliger Härten auf Antrag des Empfängers die Frist nach Satz 1 verlängern.</w:t>
      </w:r>
    </w:p>
    <w:p>
      <w:r>
        <w:t xml:space="preserve">(2) Für die Überprüfung der Angaben in der Eingangsmeldung gilt § 34 Absatz 2 Satz 1 bis 3 entsprechend. Abweichend davon erfolgt die Mitteilung an den zertifizierten Empfänger, dass es keine Beanstandungen gibt, erst nach der Vorlage des Nachweises, dass</w:t>
      </w:r>
    </w:p>
    <w:p>
      <w:pPr>
        <w:ind w:left="420"/>
      </w:pPr>
      <w:r>
        <w:t xml:space="preserve">1. die Energieerzeugnisse in ein Steuerlager aufgenommen wurden,</w:t>
      </w:r>
    </w:p>
    <w:p>
      <w:pPr>
        <w:ind w:left="420"/>
      </w:pPr>
      <w:r>
        <w:t xml:space="preserve">2. die Energiesteuer angemeldet wurde oder</w:t>
      </w:r>
    </w:p>
    <w:p>
      <w:pPr>
        <w:ind w:left="420"/>
      </w:pPr>
      <w:r>
        <w:t xml:space="preserve">3. sich an die Lieferung ein Verfahren der Steuerbefreiung anschließt.</w:t>
      </w:r>
    </w:p>
    <w:p>
      <w:r>
        <w:t xml:space="preserve">(3) Der zertifizierte Empfänger hat auf Verlangen des Hauptzollamts die Energieerzeugnisse unverändert vorzuführen.</w:t>
      </w:r>
    </w:p>
    <w:p>
      <w:r>
        <w:t xml:space="preserve">(4) Unbeschadet des § 42a gilt die Eingangsmeldung als Nachweis dafür, dass die Beförderung der Energieerzeugnisse beendet wurde.</w:t>
      </w:r>
    </w:p>
    <w:p>
      <w:r>
        <w:rPr>
          <w:color w:val="555555"/>
          <w:sz w:val="17"/>
        </w:rPr>
        <w:t xml:space="preserve">Zitiervorschlag: § 38e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https://recht.nulegal.eu/gesetze/EnergieStV/38e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