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38d EnergieStV — Änderung des Bestimmungsorts bei Verwendung des vereinfachten elektronischen Verwaltungsdokuments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Während der Beförderung von Energieerzeugnissen im Sinn des § 4 des Gesetzes im steuerrechtlich freien Verkehr kann der zertifizierte Versender den Bestimmungsort ändern, und zwar</w:t>
      </w:r>
    </w:p>
    <w:p>
      <w:pPr>
        <w:ind w:left="420"/>
      </w:pPr>
      <w:r>
        <w:t xml:space="preserve">1. in einen Lieferort, der von demselben zertifizierten Empfänger in demselben Mitgliedstaat betrieben wird, oder</w:t>
      </w:r>
    </w:p>
    <w:p>
      <w:pPr>
        <w:ind w:left="420"/>
      </w:pPr>
      <w:r>
        <w:t xml:space="preserve">2. in den Abgangsort.</w:t>
      </w:r>
    </w:p>
    <w:p>
      <w:r>
        <w:t xml:space="preserve">Die Änderung in den Abgangsort ist auch möglich, wenn der zertifizierte Empfänger die Übernahme der Energieerzeugnisse ablehnt.</w:t>
      </w:r>
    </w:p>
    <w:p>
      <w:r>
        <w:t xml:space="preserve">(2) Für die Änderung des Bestimmungsorts oder des Empfängers der Energieerzeugnisse gilt § 31 Absatz 2, 3 und 6 entsprechend.</w:t>
      </w:r>
    </w:p>
    <w:p>
      <w:r>
        <w:rPr>
          <w:color w:val="555555"/>
          <w:sz w:val="17"/>
        </w:rPr>
        <w:t xml:space="preserve">Zitiervorschlag: § 38d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https://recht.nulegal.eu/gesetze/EnergieStV/38d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