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EnergieStV — Beförderung im Steuergebiet ohne elektronisches Verwaltungsdokument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Antrag des Versenders kann das Hauptzollamt, wenn die Steuerbelange dadurch nicht gefährdet sind, anstelle des EDV-gestützten Beförderungs- und Kontrollsystems andere geeignete Verfahren zulassen für Beförderungen</w:t>
      </w:r>
    </w:p>
    <w:p>
      <w:pPr>
        <w:ind w:left="420"/>
      </w:pPr>
      <w:r>
        <w:t xml:space="preserve">1. von Energieerzeugnissen zwischen Steuerlagern desselben Steuerlagerinhabers im Steuergebiet,</w:t>
      </w:r>
    </w:p>
    <w:p>
      <w:pPr>
        <w:ind w:left="420"/>
      </w:pPr>
      <w:r>
        <w:t xml:space="preserve">1a. von Energieerzeugnissen, die zwischen einem Ort der Einfuhr im Steuergebiet und einem Steuerlager befördert werden, wenn der registrierte Versender gleichzeitig Inhaber des Steuerlagers ist,</w:t>
      </w:r>
    </w:p>
    <w:p>
      <w:pPr>
        <w:ind w:left="420"/>
      </w:pPr>
      <w:r>
        <w:t xml:space="preserve">2. von Flüssiggasen, leichtem Heizöl oder Heizölen der Unterpositionen 2710 19 62 bis 2710 19 68 und der Unterpositionen 2710 20 31 bis 2710 20 39 der Kombinierten Nomenklatur im Steuergebiet,</w:t>
      </w:r>
    </w:p>
    <w:p>
      <w:pPr>
        <w:ind w:left="420"/>
      </w:pPr>
      <w:r>
        <w:t xml:space="preserve">3. von Energieerzeugnissen in Rohrleitungen im Steuergebiet.</w:t>
      </w:r>
    </w:p>
    <w:p>
      <w:r>
        <w:t xml:space="preserve">Dies gilt nicht, wenn die Energieerzeugnisse über das Gebiet eines anderen Mitgliedstaats befördert werden.</w:t>
      </w:r>
    </w:p>
    <w:p>
      <w:r>
        <w:rPr>
          <w:color w:val="555555"/>
          <w:sz w:val="17"/>
        </w:rPr>
        <w:t xml:space="preserve">Zitiervorschlag: § 35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