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EnergieStV — Anzeichen für eine Gefährdung der Steuer</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Als Anzeichen für eine Gefährdung der Steuer nach § 6 Absatz 3, § 7 Absatz 2, § 8 Absatz 7, auch in Verbindung mit § 9 Absatz 2, § 23 Absatz 5, § 24 Absatz 5, § 30 Absatz 2 Satz 6, § 31 Absatz 4, § 32 Absatz 3 und § 38 Absatz 6 des Gesetzes ist insbesondere anzusehen, wenn Antragsteller oder Steuerpflichtige</w:t>
      </w:r>
    </w:p>
    <w:p>
      <w:pPr>
        <w:ind w:left="420"/>
      </w:pPr>
      <w:r>
        <w:t xml:space="preserve">1. Auskünfte über ihre wirtschaftliche Lage einschließlich der Herkunft des Betriebskapitals verweigern, die Prüfung ihrer wirtschaftlichen Lage ablehnen oder die für die Prüfung erforderlichen Bilanzen, Inventare, Bücher und Aufzeichnungen nicht, nicht rechtzeitig oder nicht mit richtigem Inhalt vorlegen,</w:t>
      </w:r>
    </w:p>
    <w:p>
      <w:pPr>
        <w:ind w:left="420"/>
      </w:pPr>
      <w:r>
        <w:t xml:space="preserve">2. zur Zahlung fälliger Energiesteuer nicht oder nur teilweise gedeckte Schecks vorlegen oder vorlegen lassen,</w:t>
      </w:r>
    </w:p>
    <w:p>
      <w:pPr>
        <w:ind w:left="420"/>
      </w:pPr>
      <w:r>
        <w:t xml:space="preserve">3. die Steuer mehrfach innerhalb der Frist nach § 240 Abs. 3 der Abgabenordnung oder nach deren Ablauf gezahlt haben,</w:t>
      </w:r>
    </w:p>
    <w:p>
      <w:pPr>
        <w:ind w:left="420"/>
      </w:pPr>
      <w:r>
        <w:t xml:space="preserve">4. die Steuer mehrmals durch einen Dritten haben entrichten lassen, ohne dass sie Ansprüche auf die Zahlung durch den Dritten aus einem wirtschaftlich begründeten gegenseitigen Vertrag nachweisen können,</w:t>
      </w:r>
    </w:p>
    <w:p>
      <w:pPr>
        <w:ind w:left="420"/>
      </w:pPr>
      <w:r>
        <w:t xml:space="preserve">5. Forderungen gegen Abnehmer fortlaufend abgetreten haben und zugleich Energieerzeugnisse an andere Abnehmer auf Kredit liefern, ohne dass der Zahlungseingang gesichert ist,</w:t>
      </w:r>
    </w:p>
    <w:p>
      <w:pPr>
        <w:ind w:left="420"/>
      </w:pPr>
      <w:r>
        <w:t xml:space="preserve">6. Energieerzeugnisse längere Zeit unter Einstandspreisen mit Verlust ohne begründete Aussicht auf Ausgleich des Verlusts, insbesondere unter Absatzausweitung verkaufen,</w:t>
      </w:r>
    </w:p>
    <w:p>
      <w:pPr>
        <w:ind w:left="420"/>
      </w:pPr>
      <w:r>
        <w:t xml:space="preserve">7. wirtschaftlich von einem Dritten abhängig sind oder fortlaufend Energieerzeugnisse eines Dritten in erheblichem Umfang herstellen oder lagern, ohne für den Eingang der zur Entrichtung der Steuer erforderlichen Mittel gesichert zu sein,</w:t>
      </w:r>
    </w:p>
    <w:p>
      <w:pPr>
        <w:ind w:left="420"/>
      </w:pPr>
      <w:r>
        <w:t xml:space="preserve">8. nicht übersehbare Unternehmensbeteiligungen oder -verbindungen, insbesondere im Ausland, eingehen oder</w:t>
      </w:r>
    </w:p>
    <w:p>
      <w:pPr>
        <w:ind w:left="420"/>
      </w:pPr>
      <w:r>
        <w:t xml:space="preserve">9. Personen maßgeblich am Kapital des Unternehmens oder an der Geschäftsabwicklung beteiligen, die Energiesteuer vorsätzlich oder leichtfertig verkürzt haben, vorsätzlich oder leichtfertig an einer Verkürzung beteiligt waren, die nach den im Einzelfall vorliegenden tatsächlichen Anhaltspunkten mit Wahrscheinlichkeit Täter oder Teilnehmer einer Steuerstraftat sind, oder die in einen Fall von Zahlungsunfähigkeit verwickelt sind oder waren, auf Grund dessen Energiesteuer nicht in voller Höhe vereinnahmt werden konnte.</w:t>
      </w:r>
    </w:p>
    <w:p>
      <w:r>
        <w:rPr>
          <w:color w:val="555555"/>
          <w:sz w:val="17"/>
        </w:rPr>
        <w:t xml:space="preserve">Zitiervorschlag: § 25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