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EnergieStV — Herstellung außerhalb eines Herstellungsbetriebs</w:t>
      </w:r>
    </w:p>
    <w:p>
      <w:r>
        <w:rPr>
          <w:color w:val="555555"/>
          <w:sz w:val="18"/>
        </w:rPr>
        <w:t xml:space="preserve">Energiesteuer-Durchführungsverordnung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Anzeige nach § 9 Absatz 1a des Gesetzes ist schriftlich bei dem für den Hersteller zuständigen Hauptzollamt zu erstatten.</w:t>
      </w:r>
    </w:p>
    <w:p>
      <w:r>
        <w:t xml:space="preserve">(2) Das Hauptzollamt kann vom Hersteller die für den Antrag auf Erteilung einer Herstellererlaubnis (§ 12 Absatz 1) erforderlichen sowie weitere Angaben und Unterlagen fordern und ihm die in § 15 genannten sowie weitere Pflichten auferlegen, soweit dies zur Sicherung des Steueraufkommens oder für die Steueraufsicht erforderlich erscheint.</w:t>
      </w:r>
    </w:p>
    <w:p>
      <w:r>
        <w:rPr>
          <w:color w:val="555555"/>
          <w:sz w:val="17"/>
        </w:rPr>
        <w:t xml:space="preserve">Zitiervorschlag: § 24 EnergieStV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