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 EnergieStV — Lagerbehandlung</w:t>
      </w:r>
    </w:p>
    <w:p>
      <w:r>
        <w:rPr>
          <w:color w:val="555555"/>
          <w:sz w:val="18"/>
        </w:rPr>
        <w:t xml:space="preserve">Energiesteuer-Durchführungsverordnung</w:t>
      </w:r>
    </w:p>
    <w:p>
      <w:r>
        <w:rPr>
          <w:color w:val="555555"/>
          <w:sz w:val="18"/>
        </w:rPr>
        <w:t xml:space="preserve">Stand: 10.06.2019 (konsolidierte Textfassung, kein amtliches Inkrafttretensdatum)</w:t>
      </w:r>
    </w:p>
    <w:p>
      <w:r>
        <w:t xml:space="preserve">(1) Energieerzeugnisse dürfen im Lager miteinander oder mit anderen Stoffen gemischt werden, wenn das Gemisch ein Energieerzeugnis im Sinn des § 4 des Gesetzes ist.</w:t>
      </w:r>
    </w:p>
    <w:p>
      <w:r>
        <w:t xml:space="preserve">(2) Energieerzeugnisse dürfen im Lager umgepackt, umgefüllt und in jeder anderen Weise behandelt werden, die sie vor Schaden durch die Lagerung schützen soll. Das Hauptzollamt kann weitere Behandlungen zulassen, wenn die Steuerbelange dadurch nicht beeinträchtigt werden.</w:t>
      </w:r>
    </w:p>
    <w:p>
      <w:r>
        <w:t xml:space="preserve">(3) Kohlenwasserstoffhaltige Dämpfe, die im Lager aufgefangen werden bei</w:t>
      </w:r>
    </w:p>
    <w:p>
      <w:pPr>
        <w:ind w:left="420"/>
      </w:pPr>
      <w:r>
        <w:t xml:space="preserve">a) der Lagerung,</w:t>
      </w:r>
    </w:p>
    <w:p>
      <w:pPr>
        <w:ind w:left="420"/>
      </w:pPr>
      <w:r>
        <w:t xml:space="preserve">b) der Verladung von Energieerzeugnissen oder</w:t>
      </w:r>
    </w:p>
    <w:p>
      <w:pPr>
        <w:ind w:left="420"/>
      </w:pPr>
      <w:r>
        <w:t xml:space="preserve">c) der Entgasung von Transportmitteln,</w:t>
      </w:r>
    </w:p>
    <w:p>
      <w:r>
        <w:t xml:space="preserve">dürfen im Lager verflüssigt werden. Der Lagerinhaber hat über die aufgefangenen Dämpfe und die verflüssigten Mengen Aufzeichnungen zu führen; die verflüssigten Mengen sind als Zugang im Lagerbuch zu führen.</w:t>
      </w:r>
    </w:p>
    <w:p>
      <w:r>
        <w:rPr>
          <w:color w:val="555555"/>
          <w:sz w:val="17"/>
        </w:rPr>
        <w:t xml:space="preserve">Zitiervorschlag: § 20 EnergieStV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https://recht.nulegal.eu/gesetze/EnergieStV/20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