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EnergieStV — Ordnungsgemäße Kennzeichnung</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Gasöle der Unterpositionen 2710 19 43 bis 2710 19 48 und der Unterpositionen 2710 20 11 bis 2710 20 19 der Kombinierten Nomenklatur sind dann ordnungsgemäß gekennzeichnet im Sinne von § 2 Abs. 3 Satz 1 Nr. 1, § 27 Abs. 1 Satz 2, § 48 Abs. 1 Satz 1 und § 52 Abs. 1 Satz 2 des Gesetzes, wenn sie im Steuergebiet vor der erstmaligen Abgabe in einem Kennzeichnungsbetrieb unter Verwendung von zugelassenen Kennzeichnungseinrichtungen mit 4,1 g N-Ethyl-1-(4-phenylazophenylazo)naphthyl-2-amin oder 5,3 g N-Ethylhexyl-1-(tolylazotolylazo)naphthyl-2-amin oder 6,1 g N-Tridecyl-1-(tolylazotolylazo)naphthyl-2-amin oder einem in der Farbwirkung äquivalenten Gemisch aus diesen Farbstoffen (Rotfarbstoffe) und 12,5 g ACCUTRACETM PLUS (Markierstoff – entspricht einem Gehalt von 9,5 g Butoxybenzol) auf 1 000 Liter bei 15 Grad Celsius gleichmäßig vermischt (gekennzeichnet) wurden.</w:t>
      </w:r>
    </w:p>
    <w:p>
      <w:r>
        <w:t xml:space="preserve">(2) Werden Gasöle der Unterpositionen 2710 19 43 bis 2710 19 48 und der Unterpositionen 2710 20 11 bis 2710 20 19 der Kombinierten Nomenklatur aus einem anderen Mitgliedstaat (§ 1a Satz 1 Nummer 5 des Gesetzes), einem Drittgebiet (§ 1a Satz 1 Nummer 6 des Gesetzes) oder einem Drittland (§ 1a Satz 1 Nummer 7 des Gesetzes) in das Steuergebiet verbracht oder eingeführt, gelten sie vorbehaltlich gegenteiliger Feststellung als ordnungsgemäß gekennzeichnet, wenn eine Bescheinigung in einer Amtssprache der Europäischen Union der für den Lieferer zuständigen Verbrauchsteuerverwaltung, des Herstellers oder des ausländischen Kennzeichners darüber vorgelegt wird, dass das Gasöl außerhalb des Steuergebiets gekennzeichnet worden ist und nach Art und Menge mindestens den Gehalt der in Absatz 1 genannten Kennzeichnungsstoffe und höchstens 18,75 g ACCUTRACETM PLUS (Markierstoff – entspricht einem Gehalt von höchstens 14,25 g Butoxybenzol) auf 1 000 Liter bei 15 Grad Celsius gleichmäßig verteilt enthält. Wird ein zu geringer Anteil an Kennzeichnungsstoffen festgestellt, gilt § 7 Absatz 2 Satz 6 bis 8 sinngemäß.</w:t>
      </w:r>
    </w:p>
    <w:p>
      <w:r>
        <w:t xml:space="preserve">(3) Gasöle der Unterpositionen 2710 19 43 bis 2710 19 48 und der Unterpositionen 2710 20 11 bis 2710 20 19 der Kombinierten Nomenklatur, die aus einem anderen Mitgliedstaat in das Steuergebiet verbracht werden und neben der nach Absatz 2 Satz 1 vorgeschriebenen Menge ACCUTRACETM PLUS andere als in Absatz 1 genannte Kennzeichnungsstoffe enthalten, gelten vorbehaltlich gegenteiliger Feststellung als ordnungsgemäß gekennzeichnet, wenn diese Kennzeichnungsstoffe in gleicher Weise (Rotfärbung) und mit vergleichbarer Zuverlässigkeit wie die in Absatz 1 genannten Kennzeichnungsstoffe das Erkennen als gekennzeichnetes Energieerzeugnis und die Unterscheidung von anderen Energieerzeugnissen ermöglichen. Die Generalzolldirektion bestimmt im Verwaltungswege, welche der in den anderen Mitgliedstaaten zugelassenen Kennzeichnungsverfahren die Voraussetzungen erfüllen und veröffentlicht das Ergebnis auf www.zoll.de. Weitere Voraussetzung ist, dass eine Bescheinigung in einer Amtssprache der Europäischen Union der für den Lieferer zuständigen Verbrauchsteuerverwaltung, des Herstellers oder des ausländischen Kennzeichners darüber vorgelegt wird, dass das Gasöl nach dem Recht des anderen Mitgliedstaats ordnungsgemäß gekennzeichnet ist.</w:t>
      </w:r>
    </w:p>
    <w:p>
      <w:r>
        <w:rPr>
          <w:color w:val="555555"/>
          <w:sz w:val="17"/>
        </w:rPr>
        <w:t xml:space="preserve">Zitiervorschlag: § 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