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1b EnergieStV — Ergänzende Begriffsbestimmungen zum Gesetz</w:t>
      </w:r>
    </w:p>
    <w:p>
      <w:r>
        <w:rPr>
          <w:color w:val="555555"/>
          <w:sz w:val="18"/>
        </w:rPr>
        <w:t xml:space="preserve">Energiesteuer-Durchführungsverordnung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Als andere Waren im Sinn des § 1 Absatz 3 Satz 1 Nummer 2 des Gesetzes, die ganz oder teilweise aus Kohlenwasserstoffen bestehen, gelten nicht:</w:t>
      </w:r>
    </w:p>
    <w:p>
      <w:pPr>
        <w:ind w:left="420"/>
      </w:pPr>
      <w:r>
        <w:t xml:space="preserve">1. Klärschlamm nach § 2 Absatz 2 Satz 1 und 4 der Klärschlammverordnung vom 15. April 1992 (BGBl. I S. 912), die zuletzt durch Artikel 9 der Verordnung vom 9. November 2010 (BGBl. I S. 1504) geändert worden ist, in der jeweils geltenden Fassung,</w:t>
      </w:r>
    </w:p>
    <w:p>
      <w:pPr>
        <w:ind w:left="420"/>
      </w:pPr>
      <w:r>
        <w:t xml:space="preserve">2. Siedlungsabfälle des Abfallschlüssels 20 03 nach der Anlage zu § 2 Absatz 1 der Abfallverzeichnis-Verordnung vom 10. Dezember 2001 (BGBl. I S. 3379), die zuletzt durch Artikel 7 des Gesetzes vom 15. Juli 2006 (BGBl. I S. 1619) geändert worden ist, in der jeweils geltenden Fassung,</w:t>
      </w:r>
    </w:p>
    <w:p>
      <w:pPr>
        <w:ind w:left="420"/>
      </w:pPr>
      <w:r>
        <w:t xml:space="preserve">3. andere Abfälle nach der Anlage zu § 2 Absatz 1 der Abfallverzeichnis-Verordnung, in der jeweils geltenden Fassung, die im Durchschnitt einen Heizwert von höchstens 18 Megajoule je Kilogramm haben. Die Ermittlung des durchschnittlichen Heizwerts erfolgt</w:t>
      </w:r>
    </w:p>
    <w:p>
      <w:pPr>
        <w:ind w:left="780"/>
      </w:pPr>
      <w:r>
        <w:t xml:space="preserve">a) monatlich je Verbrennungslinie oder</w:t>
      </w:r>
    </w:p>
    <w:p>
      <w:pPr>
        <w:ind w:left="780"/>
      </w:pPr>
      <w:r>
        <w:t xml:space="preserve">b) bezogen auf einzelne oder mehrere Abfalllieferungen, wenn der Heizwert durch repräsentative Referenzanalysen nachgewiesen ist, und</w:t>
      </w:r>
    </w:p>
    <w:p>
      <w:pPr>
        <w:ind w:left="420"/>
      </w:pPr>
      <w:r>
        <w:t xml:space="preserve">4. gasförmige Abfälle der Positionen 3824 und 3825 der Kombinierten Nomenklatur, die</w:t>
      </w:r>
    </w:p>
    <w:p>
      <w:pPr>
        <w:ind w:left="780"/>
      </w:pPr>
      <w:r>
        <w:t xml:space="preserve">a) im Durchschnitt einen Heizwert von höchstens 18 Megajoule je Kilogramm haben und</w:t>
      </w:r>
    </w:p>
    <w:p>
      <w:pPr>
        <w:ind w:left="780"/>
      </w:pPr>
      <w:r>
        <w:t xml:space="preserve">b) nach umweltrechtlichen Vorschriften behandelt werden müssen.</w:t>
      </w:r>
    </w:p>
    <w:p>
      <w:pPr>
        <w:ind w:left="420"/>
      </w:pPr>
      <w:r>
        <w:t xml:space="preserve">Die Ermittlung des durchschnittlichen Heizwerts erfolgt monatlich</w:t>
      </w:r>
    </w:p>
    <w:p>
      <w:pPr>
        <w:ind w:left="780"/>
      </w:pPr>
      <w:r>
        <w:t xml:space="preserve">a) je Verbrennungslinie oder</w:t>
      </w:r>
    </w:p>
    <w:p>
      <w:pPr>
        <w:ind w:left="780"/>
      </w:pPr>
      <w:r>
        <w:t xml:space="preserve">b) rechnerisch auf der Grundlage von Analysen repräsentativer, durch mengenproportionale Probeentnahme gewonnener Sammelproben.</w:t>
      </w:r>
    </w:p>
    <w:p>
      <w:r>
        <w:t xml:space="preserve">(2) Eine Verwendung von Energieerzeugnissen zum Verheizen im Sinn des § 1a Satz 1 Nummer 12 des Gesetzes liegt nicht vor, wenn das Energieerzeugnis ausschließlich zur Beseitigung seines Schadstoffpotenzials oder aus Sicherheitsgründen verbrannt wird oder wenn Energieerzeugnisse ausschließlich aus Sicherheitsgründen zum Betrieb von Zünd- oder Lockflammen verwendet werden.</w:t>
      </w:r>
    </w:p>
    <w:p>
      <w:r>
        <w:t xml:space="preserve">(3) Im Sinn des § 1a Satz 1 Nummer 14 des Gesetzes gelten nur solche gasförmigen Energieerzeugnisse als beim Kohleabbau aufgefangen, die aus aktiven oder stillgelegten Kohlebergwerken stammen.</w:t>
      </w:r>
    </w:p>
    <w:p>
      <w:r>
        <w:t xml:space="preserve">(4) Als andere vergleichbare Abfälle im Sinn des § 2 Absatz 4 Satz 5 des Gesetzes gelten Energieerzeugnisse, die gebraucht oder verunreinigt sind und somit nicht mehr ohne weitere Aufbereitung zu ihrem ursprünglichen Verwendungszweck eingesetzt werden können. Andere vergleichbare Abfälle nach § 2 Absatz 4 Satz 5 des Gesetzes sind auch Rückstände aus der Alkoholgewinnung und Alkoholrektifikation, die zu den in § 2 Absatz 3 des Gesetzes genannten Zwecken verwendet oder abgegeben werden.</w:t>
      </w:r>
    </w:p>
    <w:p>
      <w:r>
        <w:t xml:space="preserve">(5) Als gekoppelte Erzeugung von Kraft und Wärme (KWK) im Sinn der §§ 3 und 53 bis 53a des Gesetzes gilt die gleichzeitige Umwandlung von eingesetzter Energie in nutzbare mechanische oder elektrische Energie und nutzbare Wärme innerhalb eines thermodynamischen Prozesses.</w:t>
      </w:r>
    </w:p>
    <w:p>
      <w:r>
        <w:t xml:space="preserve">(6) (weggefallen)</w:t>
      </w:r>
    </w:p>
    <w:p>
      <w:r>
        <w:t xml:space="preserve">(7) (weggefallen)</w:t>
      </w:r>
    </w:p>
    <w:p>
      <w:r>
        <w:t xml:space="preserve">(8) (weggefallen)</w:t>
      </w:r>
    </w:p>
    <w:p>
      <w:r>
        <w:rPr>
          <w:color w:val="555555"/>
          <w:sz w:val="17"/>
        </w:rPr>
        <w:t xml:space="preserve">Zitiervorschlag: § 1b EnergieStV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https://recht.nulegal.eu/gesetze/EnergieStV/1b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