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EnergieStV — Erteilung, Überprüfung und Erlöschen der Lagererlaubnis</w:t>
      </w:r>
    </w:p>
    <w:p>
      <w:r>
        <w:rPr>
          <w:color w:val="555555"/>
          <w:sz w:val="18"/>
        </w:rPr>
        <w:t xml:space="preserve">Energiesteuer-Durchführungsverordnung</w:t>
      </w:r>
    </w:p>
    <w:p>
      <w:r>
        <w:rPr>
          <w:color w:val="555555"/>
          <w:sz w:val="18"/>
        </w:rPr>
        <w:t xml:space="preserve">Stand: 08.09.2021 (konsolidierte Textfassung, kein amtliches Inkrafttretensdatum)</w:t>
      </w:r>
    </w:p>
    <w:p>
      <w:r>
        <w:t xml:space="preserve">(1) Das Hauptzollamt erteilt schriftlich oder elektronisch die Erlaubnis. Es kann die Erlaubnis schon vor Abschluss einer Prüfung des Antrags erteilen, wenn Sicherheit in Höhe der Steuer geleistet ist, die voraussichtlich entstehen wird. Die Erlaubnis kann mit Nebenbestimmungen nach § 120 Absatz 2 der Abgabenordnung verbunden werden. In den Fällen des § 16 Absatz 3 wird die Erlaubnis erweitert.</w:t>
      </w:r>
    </w:p>
    <w:p>
      <w:r>
        <w:t xml:space="preserve">(1a) Mit der Erlaubnis werden für den Inhaber des Lagers und für jedes Lager Verbrauchsteuernummern vergeben. Abweichend von Satz 1 erhalten keine Verbrauchsteuernummer:</w:t>
      </w:r>
    </w:p>
    <w:p>
      <w:pPr>
        <w:ind w:left="420"/>
      </w:pPr>
      <w:r>
        <w:t xml:space="preserve">1. der Inhaber eines Lagers, dem bereits eine Verbrauchsteuernummer als Inhaber eines Herstellungsbetriebs erteilt wurde (§ 14 Absatz 1a),</w:t>
      </w:r>
    </w:p>
    <w:p>
      <w:pPr>
        <w:ind w:left="420"/>
      </w:pPr>
      <w:r>
        <w:t xml:space="preserve">2. die Lagerstätten nach § 7 Absatz 6 des Gesetzes und</w:t>
      </w:r>
    </w:p>
    <w:p>
      <w:pPr>
        <w:ind w:left="420"/>
      </w:pPr>
      <w:r>
        <w:t xml:space="preserve">3. der Inhaber eines Lagers, dem lediglich eine Erlaubnis nach § 7 Absatz 6 des Gesetzes erteilt wurde.</w:t>
      </w:r>
    </w:p>
    <w:p>
      <w:r>
        <w:t xml:space="preserve">(2) Für die Überprüfung der Erlaubnis gilt § 14 Absatz 1b entsprechend. Für das Erlöschen der Erlaubnis gilt § 14 Absatz 2 bis 7 entsprechend.</w:t>
      </w:r>
    </w:p>
    <w:p>
      <w:r>
        <w:rPr>
          <w:color w:val="555555"/>
          <w:sz w:val="17"/>
        </w:rPr>
        <w:t xml:space="preserve">Zitiervorschlag: § 18 EnergieStV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https://recht.nulegal.eu/gesetze/EnergieStV/18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