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EnergieStV — Einrichtung des Herstellungsbetriebs</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Herstellungsbetrieb muss so eingerichtet sein, dass die mit der Steueraufsicht betrauten Amtsträger den Gang der Herstellung und den Verbleib der Erzeugnisse im Betrieb verfolgen können. Das Hauptzollamt kann besondere Anforderungen stellen, die im Interesse der Steueraufsicht erforderlich erscheinen.</w:t>
      </w:r>
    </w:p>
    <w:p>
      <w:r>
        <w:t xml:space="preserve">(2) Die Lagertanks für Energieerzeugnisse im Herstellungsbetrieb müssen eichamtlich vermessen und die Zapfstellen zur Entnahme von Energieerzeugnissen mit geeichten Messeinrichtungen versehen sein. Das Hauptzollamt kann Ausnahmen zulassen, wenn die Steuerbelange dadurch nicht beeinträchtigt werden.</w:t>
      </w:r>
    </w:p>
    <w:p>
      <w:r>
        <w:t xml:space="preserve">(3) Die Lagerstätten für Energieerzeugnisse und die Zapfstellen zur Entnahme von Energieerzeugnissen bedürfen der Zulassung durch das Hauptzollamt.</w:t>
      </w:r>
    </w:p>
    <w:p>
      <w:r>
        <w:t xml:space="preserve">(4) Der Inhaber des Herstellungsbetriebs darf Energieerzeugnisse nur in den angemeldeten Betriebsanlagen herstellen, nur in den zugelassenen Lagerstätten lagern und nur an den zugelassenen Zapfstellen entnehmen.</w:t>
      </w:r>
    </w:p>
    <w:p>
      <w:r>
        <w:rPr>
          <w:color w:val="555555"/>
          <w:sz w:val="17"/>
        </w:rPr>
        <w:t xml:space="preserve">Zitiervorschlag: § 13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