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EnergieStV — Antrag auf Herstellererlaubnis</w:t>
      </w:r>
    </w:p>
    <w:p>
      <w:r>
        <w:rPr>
          <w:color w:val="555555"/>
          <w:sz w:val="18"/>
        </w:rPr>
        <w:t xml:space="preserve">Energiesteuer-Durchführungsverordnung</w:t>
      </w:r>
    </w:p>
    <w:p>
      <w:r>
        <w:rPr>
          <w:color w:val="555555"/>
          <w:sz w:val="18"/>
        </w:rPr>
        <w:t xml:space="preserve">Stand: 10.06.2019 (konsolidierte Textfassung, kein amtliches Inkrafttretensdatum)</w:t>
      </w:r>
    </w:p>
    <w:p>
      <w:r>
        <w:t xml:space="preserve">(1) Wer Energieerzeugnisse unter Steueraussetzung herstellen will, hat die Erlaubnis nach § 6 Absatz 3 Satz 1 des Gesetzes vor Eröffnung des Betriebs nach amtlich vorgeschriebenem Vordruck beim Hauptzollamt zu beantragen. Dem Antrag sind beizufügen:</w:t>
      </w:r>
    </w:p>
    <w:p>
      <w:pPr>
        <w:ind w:left="420"/>
      </w:pPr>
      <w:r>
        <w:t xml:space="preserve">1. eine Beschreibung der Herstellungsanlagen, der Lagerstätten, der Zapfstellen und der mit ihnen in Verbindung stehenden oder an sie angrenzenden Räume sowie in zweifacher Ausfertigung ein Lage- und Rohrleitungsplan;</w:t>
      </w:r>
    </w:p>
    <w:p>
      <w:pPr>
        <w:ind w:left="420"/>
      </w:pPr>
      <w:r>
        <w:t xml:space="preserve">2. eine Betriebserklärung; darin sind allgemeinverständlich zu beschreiben</w:t>
      </w:r>
    </w:p>
    <w:p>
      <w:pPr>
        <w:ind w:left="780"/>
      </w:pPr>
      <w:r>
        <w:t xml:space="preserve">a) das Herstellungsverfahren,</w:t>
      </w:r>
    </w:p>
    <w:p>
      <w:pPr>
        <w:ind w:left="780"/>
      </w:pPr>
      <w:r>
        <w:t xml:space="preserve">b) die zu bearbeitenden Rohstoffe,</w:t>
      </w:r>
    </w:p>
    <w:p>
      <w:pPr>
        <w:ind w:left="780"/>
      </w:pPr>
      <w:r>
        <w:t xml:space="preserve">c) die herzustellenden Erzeugnisse sowie deren für die Steuer maßgebenden Merkmale,</w:t>
      </w:r>
    </w:p>
    <w:p>
      <w:pPr>
        <w:ind w:left="780"/>
      </w:pPr>
      <w:r>
        <w:t xml:space="preserve">d) die Nebenerzeugnisse und Abfälle;</w:t>
      </w:r>
    </w:p>
    <w:p>
      <w:pPr>
        <w:ind w:left="420"/>
      </w:pPr>
      <w:r>
        <w:t xml:space="preserve">die Betriebserklärung ist durch eine schematische Darstellung zu ergänzen, soweit dies zu ihrem Verständnis erforderlich ist;</w:t>
      </w:r>
    </w:p>
    <w:p>
      <w:pPr>
        <w:ind w:left="420"/>
      </w:pPr>
      <w:r>
        <w:t xml:space="preserve">3. eine Darstellung der Mengenermittlung und der Fabrikationsbuchführung;</w:t>
      </w:r>
    </w:p>
    <w:p>
      <w:pPr>
        <w:ind w:left="420"/>
      </w:pPr>
      <w:r>
        <w:t xml:space="preserve">4. von Unternehmen, die in das Handels-, Genossenschafts- oder Vereinsregister eingetragen sind, ein aktueller Registerauszug.</w:t>
      </w:r>
    </w:p>
    <w:p>
      <w:r>
        <w:t xml:space="preserve">(2) Der Antragsteller hat auf Verlangen des Hauptzollamts weitere Angaben zu machen, wenn sie zur Sicherung des Steueraufkommens oder für die Steueraufsicht erforderlich erscheinen. Das Hauptzollamt kann auf Angaben verzichten, soweit die Steuerbelange dadurch nicht beeinträchtigt werden.</w:t>
      </w:r>
    </w:p>
    <w:p>
      <w:r>
        <w:t xml:space="preserve">(3) Beabsichtigt der Inhaber des Herstellungsbetriebs weitere Herstellungsbetriebe zu betreiben, beantragt er in entsprechender Anwendung der Absätze 1 und 2 eine Erweiterung der Erlaubnis.</w:t>
      </w:r>
    </w:p>
    <w:p>
      <w:r>
        <w:rPr>
          <w:color w:val="555555"/>
          <w:sz w:val="17"/>
        </w:rPr>
        <w:t xml:space="preserve">Zitiervorschlag: § 12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