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EnergieStV — Normen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Es gelten</w:t>
      </w:r>
    </w:p>
    <w:p>
      <w:pPr>
        <w:ind w:left="420"/>
      </w:pPr>
      <w:r>
        <w:t xml:space="preserve">1. für die Ermittlung der Menge von Energieerzeugnissen die DIN 51650, Ausgabe Juli 2006, in Verbindung mit der DIN 51757, Ausgabe Januar 2011, soweit die Energieerzeugnisse durch diese Normen erfasst werden,</w:t>
      </w:r>
    </w:p>
    <w:p>
      <w:pPr>
        <w:ind w:left="420"/>
      </w:pPr>
      <w:r>
        <w:t xml:space="preserve">2. für die Berechnung des Normvolumens von Erdgas und gasförmigen Kohlenwasserstoffen die DIN 1343, Ausgabe Januar 1990,</w:t>
      </w:r>
    </w:p>
    <w:p>
      <w:pPr>
        <w:ind w:left="420"/>
      </w:pPr>
      <w:r>
        <w:t xml:space="preserve">3. für die Bestimmung des Brennwerts von Erdgas und gasförmigen Kohlenwasserstoffen die DIN EN ISO 6976, Ausgabe Dezember 2016,</w:t>
      </w:r>
    </w:p>
    <w:p>
      <w:pPr>
        <w:ind w:left="420"/>
      </w:pPr>
      <w:r>
        <w:t xml:space="preserve">4. für die Bestimmung des Bleigehalts von Benzin nach § 2 Abs. 1 Nr. 1 und 2 des Gesetzes die DIN EN 13723 (Ausgabe Oktober 2002),</w:t>
      </w:r>
    </w:p>
    <w:p>
      <w:pPr>
        <w:ind w:left="420"/>
      </w:pPr>
      <w:r>
        <w:t xml:space="preserve">5. für die Bestimmung des Schwefelgehalts von Energieerzeugnissen nach § 2 Absatz 1 Nummer 1 und 4 und Absatz 3 Satz 1 Nummer 1 des Gesetzes, in Abhängigkeit von dem in der jeweiligen Norm vorgesehenen Anwendungsbereich,</w:t>
      </w:r>
    </w:p>
    <w:p>
      <w:pPr>
        <w:ind w:left="780"/>
      </w:pPr>
      <w:r>
        <w:t xml:space="preserve">a) die DIN EN ISO 8754, Ausgabe Dezember 2003,</w:t>
      </w:r>
    </w:p>
    <w:p>
      <w:pPr>
        <w:ind w:left="780"/>
      </w:pPr>
      <w:r>
        <w:t xml:space="preserve">b) die DIN EN ISO 14596, Ausgabe Dezember 2007,</w:t>
      </w:r>
    </w:p>
    <w:p>
      <w:pPr>
        <w:ind w:left="780"/>
      </w:pPr>
      <w:r>
        <w:t xml:space="preserve">c) die DIN EN ISO 20846, Ausgabe Dezember 2019,</w:t>
      </w:r>
    </w:p>
    <w:p>
      <w:pPr>
        <w:ind w:left="780"/>
      </w:pPr>
      <w:r>
        <w:t xml:space="preserve">d) die DIN EN ISO 20884, Ausgabe Januar 2022, und</w:t>
      </w:r>
    </w:p>
    <w:p>
      <w:pPr>
        <w:ind w:left="780"/>
      </w:pPr>
      <w:r>
        <w:t xml:space="preserve">e) (weggefallen)</w:t>
      </w:r>
    </w:p>
    <w:p>
      <w:pPr>
        <w:ind w:left="780"/>
      </w:pPr>
      <w:r>
        <w:t xml:space="preserve">f) die DIN EN ISO 13032, Ausgabe Juni 2012,</w:t>
      </w:r>
    </w:p>
    <w:p>
      <w:pPr>
        <w:ind w:left="420"/>
      </w:pPr>
      <w:r>
        <w:t xml:space="preserve">6. für die Bestimmung des Heizwerts von Energieerzeugnissen nach § 2 Absatz 1 Nummer 9 und 10 des Gesetzes die DIN 51900, Ausgabe Dezember 2023,</w:t>
      </w:r>
    </w:p>
    <w:p>
      <w:pPr>
        <w:ind w:left="420"/>
      </w:pPr>
      <w:r>
        <w:t xml:space="preserve">7. für die Bestimmung des Gehalts der in § 2 Absatz 1 genannten Rotfarbstoffe</w:t>
      </w:r>
    </w:p>
    <w:p>
      <w:pPr>
        <w:ind w:left="780"/>
      </w:pPr>
      <w:r>
        <w:t xml:space="preserve">a) das in der Anlage 2 dieser Verordnung genannte Verfahren (Hochdruckflüssigkeitschromatographie),</w:t>
      </w:r>
    </w:p>
    <w:p>
      <w:pPr>
        <w:ind w:left="780"/>
      </w:pPr>
      <w:r>
        <w:t xml:space="preserve">b) die DIN 51426, Ausgabe September 2011, sofern die Bestimmung nicht durch Biokomponenten gestört wird, oder</w:t>
      </w:r>
    </w:p>
    <w:p>
      <w:pPr>
        <w:ind w:left="780"/>
      </w:pPr>
      <w:r>
        <w:t xml:space="preserve">c) die DIN 51430, Ausgabe Februar 2018;</w:t>
      </w:r>
    </w:p>
    <w:p>
      <w:pPr>
        <w:ind w:left="420"/>
      </w:pPr>
      <w:r>
        <w:t xml:space="preserve">im Streitfall ist das Ergebnis der Untersuchung nach dem in der Anlage 2 dieser Verordnung genannten Verfahren maßgeblich,</w:t>
      </w:r>
    </w:p>
    <w:p>
      <w:pPr>
        <w:ind w:left="420"/>
      </w:pPr>
      <w:r>
        <w:t xml:space="preserve">8. (weggefallen)</w:t>
      </w:r>
    </w:p>
    <w:p>
      <w:pPr>
        <w:ind w:left="420"/>
      </w:pPr>
      <w:r>
        <w:t xml:space="preserve">9. für die Bestimmung des Färbeäquivalents von Gemischen der in § 2 Abs. 1 genannten Rotfarbstoffe die Anlage 4 zu dieser Verordnung,</w:t>
      </w:r>
    </w:p>
    <w:p>
      <w:pPr>
        <w:ind w:left="420"/>
      </w:pPr>
      <w:r>
        <w:t xml:space="preserve">10. für die Probeentnahme nach § 1b Absatz 1 Nummer 4 die DIN EN ISO 10715, Ausgabe März 2023,</w:t>
      </w:r>
    </w:p>
    <w:p>
      <w:pPr>
        <w:ind w:left="420"/>
      </w:pPr>
      <w:r>
        <w:t xml:space="preserve">11. für die Bestimmung des Gehalts des in § 2 Absatz 1 genannten Markierstoffs ACCUTRACETM PLUS das in der Anlage 5 dieser Verordnung genannte Verfahren.</w:t>
      </w:r>
    </w:p>
    <w:p>
      <w:r>
        <w:t xml:space="preserve">DIN- und ISO/IEC-Normen, auf die in dieser Verordnung verwiesen wird, sind im Beuth-Verlag GmbH, Berlin, erschienen und bei der Deutschen Nationalbibliothek archivmäßig gesichert niedergelegt.</w:t>
      </w:r>
    </w:p>
    <w:p>
      <w:r>
        <w:rPr>
          <w:color w:val="555555"/>
          <w:sz w:val="17"/>
        </w:rPr>
        <w:t xml:space="preserve">Zitiervorschlag: § 110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https://recht.nulegal.eu/gesetze/EnergieStV/110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