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EnergieStV — Pflichten des Anlagenbetreibers</w:t>
      </w:r>
    </w:p>
    <w:p>
      <w:r>
        <w:rPr>
          <w:color w:val="555555"/>
          <w:sz w:val="18"/>
        </w:rPr>
        <w:t xml:space="preserve">Energiesteuer-Durchführungsverordnung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Betreiber einer Anlage nach § 3 Absatz 1 Satz 1 Nummer 2 des Gesetzes hat den Jahresnutzungsgrad der Anlage jährlich bis zum 31. März für das vorangegangene Kalenderjahr nachzuweisen. Der Nachweis ist dem zuständigen Hauptzollamt vorzulegen.</w:t>
      </w:r>
    </w:p>
    <w:p>
      <w:r>
        <w:t xml:space="preserve">(2) Die Anmeldung nach § 3 Absatz 5 des Gesetzes ist nach amtlich vorgeschriebenem Vordruck bei dem für den Anlagenbetreiber zuständigen Hauptzollamt abzugeben.</w:t>
      </w:r>
    </w:p>
    <w:p>
      <w:r>
        <w:t xml:space="preserve">(3) In der Anmeldung sind für jede Anlage anzugeben:</w:t>
      </w:r>
    </w:p>
    <w:p>
      <w:pPr>
        <w:ind w:left="420"/>
      </w:pPr>
      <w:r>
        <w:t xml:space="preserve">1. der Name und die Anschrift des Betreibers,</w:t>
      </w:r>
    </w:p>
    <w:p>
      <w:pPr>
        <w:ind w:left="420"/>
      </w:pPr>
      <w:r>
        <w:t xml:space="preserve">2. ihr Standort,</w:t>
      </w:r>
    </w:p>
    <w:p>
      <w:pPr>
        <w:ind w:left="420"/>
      </w:pPr>
      <w:r>
        <w:t xml:space="preserve">3. der Hersteller, der Typ und die Seriennummer,</w:t>
      </w:r>
    </w:p>
    <w:p>
      <w:pPr>
        <w:ind w:left="420"/>
      </w:pPr>
      <w:r>
        <w:t xml:space="preserve">4. eine technische Beschreibung mit der Angabe des Durchschnittsverbrauchs je Betriebsstunde,</w:t>
      </w:r>
    </w:p>
    <w:p>
      <w:pPr>
        <w:ind w:left="420"/>
      </w:pPr>
      <w:r>
        <w:t xml:space="preserve">5. eine Beschreibung der installierten und betriebsfähigen Vorrichtungen zur Kraft- und Wärmenutzung,</w:t>
      </w:r>
    </w:p>
    <w:p>
      <w:pPr>
        <w:ind w:left="420"/>
      </w:pPr>
      <w:r>
        <w:t xml:space="preserve">6. eine Erklärung zur Nutzung der erzeugten thermischen und mechanischen Energie,</w:t>
      </w:r>
    </w:p>
    <w:p>
      <w:pPr>
        <w:ind w:left="420"/>
      </w:pPr>
      <w:r>
        <w:t xml:space="preserve">7. eine vorläufige Nutzungsgradberechnung und</w:t>
      </w:r>
    </w:p>
    <w:p>
      <w:pPr>
        <w:ind w:left="420"/>
      </w:pPr>
      <w:r>
        <w:t xml:space="preserve">8. eine Darstellung der Mengenermittlung der eingesetzten Energieerzeugnisse.</w:t>
      </w:r>
    </w:p>
    <w:p>
      <w:r>
        <w:t xml:space="preserve">Der Betreiber hat auf Verlangen des Hauptzollamts weitere Angaben zu machen, wenn sie zur Sicherung des Steueraufkommens oder für die Steueraufsicht erforderlich erscheinen.</w:t>
      </w:r>
    </w:p>
    <w:p>
      <w:r>
        <w:t xml:space="preserve">(4) Der Betreiber hat dem zuständigen Hauptzollamt Änderungen der nach Absatz 3 angegebenen Verhältnisse und eine endgültige Einstellung des Betriebs der Anlage innerhalb von vier Wochen schriftlich anzuzeigen.</w:t>
      </w:r>
    </w:p>
    <w:p>
      <w:r>
        <w:rPr>
          <w:color w:val="555555"/>
          <w:sz w:val="17"/>
        </w:rPr>
        <w:t xml:space="preserve">Zitiervorschlag: § 11 EnergieStV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https://recht.nulegal.eu/gesetze/EnergieStV/11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