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 EnergieStV — Hinweispflichten bei Abgabe von Energieerzeugnissen</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Wer Energieerzeugnisse nach § 1 Abs. 2 Nr. 1, 4, 6 oder § 1 Abs. 3 des Gesetzes, für die die Steuer nach den Steuersätzen des § 2 Abs. 1 des Gesetzes entstanden ist, im Steuergebiet an Dritte abgibt, hat die für den Empfänger bestimmten Belege (Rechnungen, Lieferscheine, Lieferverträge oder dergleichen) mit einem Hinweis zu versehen, dass es sich bei den abgegebenen Waren um Energieerzeugnisse im Sinne des Energiesteuergesetzes handelt.</w:t>
      </w:r>
    </w:p>
    <w:p>
      <w:r>
        <w:t xml:space="preserve">(2) Wer Energieerzeugnisse, für die die Steuer nach den Steuersätzen des § 2 Abs. 3 des Gesetzes entstanden ist, im Steuergebiet an Dritte abgibt, hat die für den Empfänger bestimmten Belege (Rechnungen, Lieferscheine, Lieferverträge oder dergleichen) mit folgendem Hinweis zu versehen:</w:t>
      </w:r>
    </w:p>
    <w:p>
      <w:pPr>
        <w:ind w:left="420"/>
      </w:pPr>
      <w:r>
        <w:t xml:space="preserve">"Steuerbegünstigtes Energieerzeugnis! Darf nicht als Kraftstoff verwendet werden, es sei denn, eine solche Verwendung ist nach dem Energiesteuergesetz oder der Energiesteuer-Durchführungsverordnung zulässig. Jede andere Verwendung als Kraftstoff hat steuer- und strafrechtliche Folgen! In Zweifelsfällen wenden Sie sich bitte an Ihr zuständiges Hauptzollamt."</w:t>
      </w:r>
    </w:p>
    <w:p>
      <w:r>
        <w:t xml:space="preserve">Der Hinweis kann bei der Abgabe von Flüssiggasen in Kleinflaschen oder Kartuschen mit einem Füllgewicht bis 5 Kilogramm entfallen. Bei anderen Flaschen mit einem Füllgewicht bis 11 Kilogramm kann der Hinweis auch in Form eines Aufdrucks oder Aufklebers auf der Flüssiggasflasche angebracht werden.</w:t>
      </w:r>
    </w:p>
    <w:p>
      <w:r>
        <w:rPr>
          <w:color w:val="555555"/>
          <w:sz w:val="17"/>
        </w:rPr>
        <w:t xml:space="preserve">Zitiervorschlag: § 107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