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EnergieStV — Steueraufsicht, Pflichten</w:t>
      </w:r>
    </w:p>
    <w:p>
      <w:r>
        <w:rPr>
          <w:color w:val="555555"/>
          <w:sz w:val="18"/>
        </w:rPr>
        <w:t xml:space="preserve">Energiesteuer-Durchführungsverordnung</w:t>
      </w:r>
    </w:p>
    <w:p>
      <w:r>
        <w:rPr>
          <w:color w:val="555555"/>
          <w:sz w:val="18"/>
        </w:rPr>
        <w:t xml:space="preserve">Stand: 10.06.2019 (konsolidierte Textfassung, kein amtliches Inkrafttretensdatum)</w:t>
      </w:r>
    </w:p>
    <w:p>
      <w:r>
        <w:t xml:space="preserve">Wer der Steueraufsicht unterliegt (§ 61 des Gesetzes), hat auf Verlangen des Hauptzollamts über den Bezug, den Vertrieb, den Transport, die Lagerung und die Verwendung von Energieerzeugnissen besondere Aufzeichnungen zu führen, aus denen jeweils Art, Kennzeichnung und Menge der Energieerzeugnisse, der Lieferer, der Empfänger und die Reihenfolge der Lieferungen hervorgehen, wenn diese Angaben aus den betrieblichen Unterlagen nicht ersichtlich sind. Darüber hinaus kann das Hauptzollamt weitere Überwachungsmaßnahmen anordnen, wenn sie zur Sicherung der Steuerbelange erforderlich erscheinen.</w:t>
      </w:r>
    </w:p>
    <w:p>
      <w:r>
        <w:rPr>
          <w:color w:val="555555"/>
          <w:sz w:val="17"/>
        </w:rPr>
        <w:t xml:space="preserve">Zitiervorschlag: § 106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