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103a EnergieStV — Steuerentlastung für ausländische Streitkräfte und Hauptquartiere (NATO)</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ist bei dem für den Antragsteller zuständigen Hauptzollamt mit einer Anmeldung nach amtlich vorgeschriebenem Vordruck für alle Energieerzeugnisse zu beantragen, die innerhalb eines Entlastungsabschnitts geliefert worden sind.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 mindestens 10 000 Euro beträgt. Das Wahlrecht kann einmalig für jeweils ein Kalenderjahr ausgeübt werden.</w:t>
      </w:r>
    </w:p>
    <w:p>
      <w:r>
        <w:t xml:space="preserve">(3) Dem Antrag auf Steuerentlastung sind die Abwicklungsscheine nach § 73 Absatz 1 Nummer 1 der Umsatzsteuer-Durchführungsverordnung beizufügen. Das Hauptzollamt kann auf Abwicklungsscheine verzichten, wenn die in diesen vorgeschriebenen Angaben anderen Belegen und den Aufzeichnungen des Antragstellers eindeutig und leicht nachprüfbar zu entnehmen sind.</w:t>
      </w:r>
    </w:p>
    <w:p>
      <w:r>
        <w:t xml:space="preserve">(4) Der Antragsteller hat einen buchmäßigen Nachweis zu führen, dem für jede Lieferung oder Abgabe im Entlastungsabschnitt die Art, die Menge, die Herkunft und der Empfänger der Energieerzeugnisse oder der daraus erzeugten Wärme zu entnehmen sein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103a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