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EnergieStV — Nutzungsgradermittlung</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Zur Ermittlung des Nutzungsgrads sind zu messen:</w:t>
      </w:r>
    </w:p>
    <w:p>
      <w:pPr>
        <w:ind w:left="420"/>
      </w:pPr>
      <w:r>
        <w:t xml:space="preserve">1. die Mengen der eingesetzten Energieerzeugnisse,</w:t>
      </w:r>
    </w:p>
    <w:p>
      <w:pPr>
        <w:ind w:left="420"/>
      </w:pPr>
      <w:r>
        <w:t xml:space="preserve">2. die Mengen weiterer eingesetzter Brennstoffe,</w:t>
      </w:r>
    </w:p>
    <w:p>
      <w:pPr>
        <w:ind w:left="420"/>
      </w:pPr>
      <w:r>
        <w:t xml:space="preserve">3. die Mengen der eingesetzten Hilfsenergie und</w:t>
      </w:r>
    </w:p>
    <w:p>
      <w:pPr>
        <w:ind w:left="420"/>
      </w:pPr>
      <w:r>
        <w:t xml:space="preserve">4. die Mengen der genutzten erzeugten thermischen und mechanischen oder elektrischen Energie.</w:t>
      </w:r>
    </w:p>
    <w:p>
      <w:r>
        <w:t xml:space="preserve">Das zuständige Hauptzollamt kann auf Antrag andere Ermittlungsmethoden zulassen, wenn steuerliche Belange nicht beeinträchtigt werden. Bei Anlagen zur gekoppelten Erzeugung von Kraft und Wärme, die ausschließlich wärmegeführt betrieben werden und weder über einen Notkühler noch über einen Bypass zur Umgehung des Abgaswärmetauschers verfügen, kann der Nutzungsgrad den technischen Beschreibungen entnommen werden. Unabhängige technische Gutachten über die individuellen Anlageneigenschaften können zur Bestimmung des Nutzungsgrads herangezogen werden.</w:t>
      </w:r>
    </w:p>
    <w:p>
      <w:r>
        <w:t xml:space="preserve">(2) Erzeugte thermische Energie gilt dann als genutzt, wenn sie außerhalb des Kraft-Wärme-Kopplungsprozesses verwendet wird, insbesondere für die Raumheizung, Warmwasserbereitung, Kälteerzeugung oder als Prozesswärme. Abwärme gilt nicht als genutzte thermische Energie im Sinn des Satzes 1.Abwärme ist insbesondere thermische Energie in Form von Strahlungswärme, die ungenutzt an die Umgebung abgegeben wird.</w:t>
      </w:r>
    </w:p>
    <w:p>
      <w:r>
        <w:rPr>
          <w:color w:val="555555"/>
          <w:sz w:val="17"/>
        </w:rPr>
        <w:t xml:space="preserve">Zitiervorschlag: § 10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