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EnergieStV — Begriffsbestimmungen</w:t>
      </w:r>
    </w:p>
    <w:p>
      <w:r>
        <w:rPr>
          <w:color w:val="555555"/>
          <w:sz w:val="18"/>
        </w:rPr>
        <w:t xml:space="preserve">Energiesteuer-Durchführungsverordnung</w:t>
      </w:r>
    </w:p>
    <w:p>
      <w:r>
        <w:rPr>
          <w:color w:val="555555"/>
          <w:sz w:val="18"/>
        </w:rPr>
        <w:t xml:space="preserve">Stand: 01.01.2024 (konsolidierte Textfassung, kein amtliches Inkrafttretensdatum)</w:t>
      </w:r>
    </w:p>
    <w:p>
      <w:r>
        <w:t xml:space="preserve">Im Sinne dieser Verordnung ist oder sind:</w:t>
      </w:r>
    </w:p>
    <w:p>
      <w:pPr>
        <w:ind w:left="420"/>
      </w:pPr>
      <w:r>
        <w:t xml:space="preserve">1. zugelassene Kennzeichnungsstoffe:die in § 2 Abs. 1 genannten Rotfarbstoffe und der Markierstoff ACCUTRACETM PLUS sowie die nach § 2 Abs. 2 und 3 anzuerkennenden ausländischen Kennzeichnungsstoffe;</w:t>
      </w:r>
    </w:p>
    <w:p>
      <w:pPr>
        <w:ind w:left="420"/>
      </w:pPr>
      <w:r>
        <w:t xml:space="preserve">2. Kennzeichnungslösungen:Lösungen der in § 2 Abs. 1 aufgeführten Kennzeichnungsstoffe in Energieerzeugnissen oder anderen Lösungsmitteln, die zum Kennzeichnen von Gasölen oder ihnen gleichgestellten Energieerzeugnissen nach § 2 Abs. 4 des Gesetzes bestimmt sind;</w:t>
      </w:r>
    </w:p>
    <w:p>
      <w:pPr>
        <w:ind w:left="420"/>
      </w:pPr>
      <w:r>
        <w:t xml:space="preserve">3. Kennzeichnungseinrichtungen:Anlagen, in denen die Kennzeichnungslösung durch eine von einer Messeinrichtung gesteuerten Pumpe oder Regeleinrichtung in einem bestimmten Verhältnis dem zu kennzeichnenden Energieerzeugnis zugegeben oder in anderer Weise mengenproportional zugeführt und darin gleichmäßig verteilt wird. Eine Kennzeichnungseinrichtung umfasst auch das erforderliche Zubehör und Leitungen;</w:t>
      </w:r>
    </w:p>
    <w:p>
      <w:pPr>
        <w:ind w:left="420"/>
      </w:pPr>
      <w:r>
        <w:t xml:space="preserve">4. wesentliche Bauteile von Kennzeichnungseinrichtungen:Regel- und Messeinrichtungen, Mengen- und Messwerterfassungssysteme und Sicherungseinrichtungen;</w:t>
      </w:r>
    </w:p>
    <w:p>
      <w:pPr>
        <w:ind w:left="420"/>
      </w:pPr>
      <w:r>
        <w:t xml:space="preserve">5. Kennzeichnungsbetriebe:Betriebe, deren Inhabern die Kennzeichnung von Energieerzeugnissen nach § 6 bewilligt ist;</w:t>
      </w:r>
    </w:p>
    <w:p>
      <w:pPr>
        <w:ind w:left="420"/>
      </w:pPr>
      <w:r>
        <w:t xml:space="preserve">6. leichtes Heizöl:Gasöle der Unterpositionen 2710 19 43 bis 2710 19 48 und der Unterpositionen 2710 20 11 bis 2710 20 19 der Kombinierten Nomenklatur (§ 1a Satz 1 Nummer 2 des Gesetzes), die nach § 2 Abs. 1 gekennzeichnet sind oder nach § 2 Abs. 2 und 3 als gekennzeichnet gelten;</w:t>
      </w:r>
    </w:p>
    <w:p>
      <w:pPr>
        <w:ind w:left="420"/>
      </w:pPr>
      <w:r>
        <w:t xml:space="preserve">7. Lagerstätten für Energieerzeugnisse:Räume, Gefäße und Lagerplätze, in oder auf denen Energieerzeugnisse gelagert werden, sowie in den Fällen des § 7 Absatz 6 des Gesetzes die Fahrzeuge oder die Anhänger ohne Zulassung zum Straßenverkehr;</w:t>
      </w:r>
    </w:p>
    <w:p>
      <w:pPr>
        <w:ind w:left="420"/>
      </w:pPr>
      <w:r>
        <w:t xml:space="preserve">8. EDV-gestütztes Beförderungs- und Kontrollsystem: System, über das Personen, die an Beförderungen von Energieerzeugnissen unter Steueraussetzung oder Lieferungen von Energieerzeugnissen zu gewerblichen Zwecken nach § 15 des Gesetzes beteiligt sind, elektronische Meldungen über Bewegungen von Energieerzeugnissen mit der Zollverwaltung austauschen; das System dient der Kontrolle dieser Bewegungen;</w:t>
      </w:r>
    </w:p>
    <w:p>
      <w:pPr>
        <w:ind w:left="420"/>
      </w:pPr>
      <w:r>
        <w:t xml:space="preserve">8a. EMCS-Durchführungsverordnung: die Verordnung (EG) Nr. 684/2009 der Kommission vom 24. Juli 2009 zur Durchführung der Richtlinie 2008/118/EG des Rates in Bezug auf die EDV-gestützten Verfahren für die Beförderung verbrauchsteuerpflichtiger Waren unter Steueraussetzung (ABl. L 197 vom 29.7.2009, S. 24), die zuletzt durch die Durchführungsverordnung (EU) 2020/1811 (ABl. L 404 vom 2.12.2020, S. 3) geändert worden ist, in der jeweils geltenden Fassung;</w:t>
      </w:r>
    </w:p>
    <w:p>
      <w:pPr>
        <w:ind w:left="420"/>
      </w:pPr>
      <w:r>
        <w:t xml:space="preserve">9. elektronisches Verwaltungsdokument: der Entwurf des elektronischen Verwaltungsdokuments nach amtlich vorgeschriebenem Datensatz, der mit einem eindeutigen Referenzcode versehen ist;</w:t>
      </w:r>
    </w:p>
    <w:p>
      <w:pPr>
        <w:ind w:left="420"/>
      </w:pPr>
      <w:r>
        <w:t xml:space="preserve">10. Ausfallverfahren: ein Verfahren, das zu Beginn, während oder nach der Beendigung der Beförderung von Energieerzeugnissen unter Steueraussetzung oder zu Beginn, während oder nach der Lieferung von Energieerzeugnissen zu gewerblichen Zwecken nach § 15 des Gesetzes angewendet wird, wenn das EDV-gestützte Beförderungs- und Kontrollsystem nicht zur Verfügung steht;</w:t>
      </w:r>
    </w:p>
    <w:p>
      <w:pPr>
        <w:ind w:left="420"/>
      </w:pPr>
      <w:r>
        <w:t xml:space="preserve">11. Ausgangszollstelle: die nach Artikel 329 der Durchführungsverordnung zum Unionszollkodex bestimmte Zollstelle;</w:t>
      </w:r>
    </w:p>
    <w:p>
      <w:pPr>
        <w:ind w:left="420"/>
      </w:pPr>
      <w:r>
        <w:t xml:space="preserve">12. vereinfachtes elektronisches Verwaltungsdokument: Entwurf des vereinfachten elektronischen Verwaltungsdokuments nach amtlich vorgeschriebenem Datensatz, der mit einem eindeutigen Referenzcode versehen ist;</w:t>
      </w:r>
    </w:p>
    <w:p>
      <w:pPr>
        <w:ind w:left="420"/>
      </w:pPr>
      <w:r>
        <w:t xml:space="preserve">13. Durchführungsverordnung zum Unionszollkodex: die Durchführungsverordnung (EU) 2015/2447 der Kommission vom 24. November 2015 mit Einzelheiten zur Umsetzung von Bestimmungen der Verordnung (EU) Nr. 952/2013 des Europäischen Parlaments und des Rates zur Festlegung des Zollkodex der Union (ABl. L 343 vom 29.12.2015, S. 558; L 101 vom 13.4.2017, S. 166; L 157 vom 20.6.2018, S. 27; L 387 vom 19.11.2020, S. 31), die zuletzt durch die Durchführungsverordnung (EU) 2021/235 (ABl. L 63 vom 23.2.2021, S. 386) geändert worden ist, in der jeweils geltenden Fassung;</w:t>
      </w:r>
    </w:p>
    <w:p>
      <w:pPr>
        <w:ind w:left="420"/>
      </w:pPr>
      <w:r>
        <w:t xml:space="preserve">13a. Delegierte Verordnung zum Unionszollkodex: die Delegierte Verordnung (EU) 2015/2446 der Kommission vom 28. Juli 2015 zur Ergänzung der Verordnung (EU) Nr. 952/2013 des Europäischen Parlaments und des Rates mit Einzelheiten zur Präzisierung von Bestimmungen des Zollkodex der Union (ABl. L 343 vom 29.12.2015, S. 1; L 87 vom 2.4.2016, S. 35; L 264 vom 30.9.2016, S. 44; L 101 vom 13.4.2017, S. 164), die zuletzt durch die Delegierte Verordnung (EU) 2021/234 (ABl. L 63 vom 23.2.2021, S. 1) geändert worden ist, in der jeweils geltenden Fassung;</w:t>
      </w:r>
    </w:p>
    <w:p>
      <w:pPr>
        <w:ind w:left="420"/>
      </w:pPr>
      <w:r>
        <w:t xml:space="preserve">14. Stromsteuer-Durchführungsverordnung:die Stromsteuer-Durchführungsverordnung vom 31. Mai 2000 (BGBl. I S. 794), die zuletzt durch Artikel 3 der Verordnung vom 2. Januar 2018 (BGBl. I S. 84) geändert worden ist, in der jeweils geltenden Fassung;</w:t>
      </w:r>
    </w:p>
    <w:p>
      <w:pPr>
        <w:ind w:left="420"/>
      </w:pPr>
      <w:r>
        <w:t xml:space="preserve">15. lose Ware:unverpackte Energieerzeugnisse in einem Behältnis, das entweder Bestandteil des Beförderungsmittels oder ein ISO-Tankcontainer ist, sowie unverpackte Energieerzeugnisse in anderen Behältnissen mit einem Volumen von mehr als 210 Litern Inhalt;</w:t>
      </w:r>
    </w:p>
    <w:p>
      <w:pPr>
        <w:ind w:left="420"/>
      </w:pPr>
      <w:r>
        <w:t xml:space="preserve">16. KWK-Einheit:kleinste technisch selbständige Einrichtung zur gekoppelten Erzeugung von Kraft und Wärme (§ 1b Absatz 5);</w:t>
      </w:r>
    </w:p>
    <w:p>
      <w:pPr>
        <w:ind w:left="420"/>
      </w:pPr>
      <w:r>
        <w:t xml:space="preserve">17. Stromerzeugungseinheit:kleinste technisch selbständige Einrichtung, mit der elektrische Energie erzeugt werden kann.</w:t>
      </w:r>
    </w:p>
    <w:p>
      <w:r>
        <w:t xml:space="preserve">Die Begriffsbestimmung nach Satz 1 Nummer 1 gilt für § 21 Absatz 1 Satz 1 und § 65 Absatz 1 Satz 1 Nummer 2 und 3 des Gesetzes entsprechend und die Begriffsbestimmung nach Satz 1 Nummer 15 gilt für § 4 Nummer 3 des Gesetzes entsprechend.</w:t>
      </w:r>
    </w:p>
    <w:p>
      <w:r>
        <w:rPr>
          <w:color w:val="555555"/>
          <w:sz w:val="17"/>
        </w:rPr>
        <w:t xml:space="preserve">Zitiervorschlag: § 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