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9b EnergieStG — Registrierte Versender</w:t>
      </w:r>
    </w:p>
    <w:p>
      <w:r>
        <w:rPr>
          <w:color w:val="555555"/>
          <w:sz w:val="18"/>
        </w:rPr>
        <w:t xml:space="preserve">Energiesteuergesetz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Registrierte Versender sind Personen, die Energieerzeugnisse vom Ort der Einfuhr unter Steueraussetzung versenden dürfen.</w:t>
      </w:r>
    </w:p>
    <w:p>
      <w:r>
        <w:t xml:space="preserve">(2) Registrierte Versender bedürfen der Erlaubnis. Sie wird auf Antrag unter Widerrufsvorbehalt Personen erteilt, gegen deren steuerliche Zuverlässigkeit keine Bedenken bestehen und die − soweit nach dem Handelsgesetzbuch oder der Abgabenordnung dazu verpflichtet − ordnungsmäßig kaufmännische Bücher führen und rechtzeitig Jahresabschlüsse aufstellen. Die Erlaubnis ist bei Beförderungen nach § 11 Absatz 1 Nummer 1 und bei der Ausfuhr (§ 13) über Gebiete anderer Mitgliedstaaten davon abhängig, dass Sicherheit nach § 11 Absatz 2 oder § 13 Absatz 2 Satz 1 geleistet worden ist.</w:t>
      </w:r>
    </w:p>
    <w:p>
      <w:r>
        <w:t xml:space="preserve">(3) Die Erlaubnis ist zu widerrufen, wenn eine der in Absatz 2 Satz 2 genannten Voraussetzungen nicht mehr erfüllt ist oder eine geleistete Sicherheit nicht mehr ausreicht.</w:t>
      </w:r>
    </w:p>
    <w:p>
      <w:r>
        <w:rPr>
          <w:color w:val="555555"/>
          <w:sz w:val="17"/>
        </w:rPr>
        <w:t xml:space="preserve">Zitiervorschlag: § 9b EnergieStG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https://recht.nulegal.eu/gesetze/EnergieStG/9b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