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 EnergieStG — Sicherstellung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Sichergestellt werden können</w:t>
      </w:r>
    </w:p>
    <w:p>
      <w:pPr>
        <w:ind w:left="420"/>
      </w:pPr>
      <w:r>
        <w:t xml:space="preserve">1. Energieerzeugnisse, für die eine Steuer nach § 21 Abs. 1 entstanden ist,</w:t>
      </w:r>
    </w:p>
    <w:p>
      <w:pPr>
        <w:ind w:left="420"/>
      </w:pPr>
      <w:r>
        <w:t xml:space="preserve">2. Energieerzeugnisse, aus denen zugelassene Kennzeichnungsstoffe zu Unrecht entfernt oder bei denen diese in ihrer Wirksamkeit beeinträchtigt worden sind,</w:t>
      </w:r>
    </w:p>
    <w:p>
      <w:pPr>
        <w:ind w:left="420"/>
      </w:pPr>
      <w:r>
        <w:t xml:space="preserve">3. Energieerzeugnisse, die entgegen einem nach § 66 Abs. 1 Nr. 12 erlassenen Verbot zugelassene Kennzeichnungsstoffe oder andere rot färbende Stoffe enthalten.</w:t>
      </w:r>
    </w:p>
    <w:p>
      <w:r>
        <w:t xml:space="preserve">(2) Sichergestellt werden können Energieerzeugnisse, die ein Amtsträger in Mengen und unter Umständen vorfindet, die auf eine gewerbliche Zweckbestimmung hinweisen und für die der Nachweis nicht erbracht werden kann, dass</w:t>
      </w:r>
    </w:p>
    <w:p>
      <w:pPr>
        <w:ind w:left="420"/>
      </w:pPr>
      <w:r>
        <w:t xml:space="preserve">1. die Energieerzeugnisse sich in einem in § 1a Satz 1 Nummer 10 genannten Verfahren befinden,</w:t>
      </w:r>
    </w:p>
    <w:p>
      <w:pPr>
        <w:ind w:left="420"/>
      </w:pPr>
      <w:r>
        <w:t xml:space="preserve">2. die Energieerzeugnisse im Steuergebiet ordnungsgemäß versteuert oder zur ordnungsgemäßen Versteuerung angemeldet worden sind oder</w:t>
      </w:r>
    </w:p>
    <w:p>
      <w:pPr>
        <w:ind w:left="420"/>
      </w:pPr>
      <w:r>
        <w:t xml:space="preserve">3. es sich um eine Durchfuhr von Energieerzeugnissen des steuerrechtlich freien Verkehrs oder um Energieerzeugnisse handelt, die sich an Bord eines zwischen dem Steuergebiet und einem anderen Mitgliedstaat verkehrenden Wasser- oder Luftfahrzeugs befinden, aber nicht im Steuergebiet zum Verkauf stehen.</w:t>
      </w:r>
    </w:p>
    <w:p>
      <w:r>
        <w:t xml:space="preserve">(3) Die §§ 215 und 216 der Abgabenordnung gelten sinngemäß.</w:t>
      </w:r>
    </w:p>
    <w:p>
      <w:r>
        <w:rPr>
          <w:color w:val="555555"/>
          <w:sz w:val="17"/>
        </w:rPr>
        <w:t xml:space="preserve">Zitiervorschlag: § 65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