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58a EnergieStG — Steuerentlastung im Zusammenhang mit der Gemeinsamen Sicherheits- und Verteidigungspolitik (GSVP)</w:t>
      </w:r>
    </w:p>
    <w:p>
      <w:r>
        <w:rPr>
          <w:color w:val="555555"/>
          <w:sz w:val="18"/>
        </w:rPr>
        <w:t xml:space="preserve">Energiesteuergesetz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Eine Steuerentlastung wird auf Antrag gewährt für nachweislich versteuerte Energieerzeugnisse, die</w:t>
      </w:r>
    </w:p>
    <w:p>
      <w:pPr>
        <w:ind w:left="420"/>
      </w:pPr>
      <w:r>
        <w:t xml:space="preserve">1. an die ausländischen Streitkräfte eines anderen Mitgliedstaats der Europäischen Union geliefert werden und</w:t>
      </w:r>
    </w:p>
    <w:p>
      <w:pPr>
        <w:ind w:left="420"/>
      </w:pPr>
      <w:r>
        <w:t xml:space="preserve">2. die für den Gebrauch oder Verbrauch dieser Streitkräfte oder ihres zivilen Begleitpersonals oder für die Versorgung ihrer Kasinos oder Kantinen verwendet werden,</w:t>
      </w:r>
    </w:p>
    <w:p>
      <w:r>
        <w:t xml:space="preserve">wenn diese Streitkräfte im Steuergebiet an einer Verteidigungsanstrengung teilnehmen, die zur Durchführung einer Tätigkeit der Europäischen Union im Zusammenhang mit der Gemeinsamen Sicherheits- und Verteidigungspolitik unternommen wird. Entlastungsberechtigt ist derjenige, der die Energieerzeugnisse geliefert hat.</w:t>
      </w:r>
    </w:p>
    <w:p>
      <w:r>
        <w:t xml:space="preserve">(2) Den in Absatz 1 genannten Streitkräften und Personen wird auf Antrag die Steuer für Energieerzeugnisse vergütet, die sie als Kraftstoff für den Betrieb ihrer Kraftfahrzeuge aus öffentlichen Tankstellen erworben haben.</w:t>
      </w:r>
    </w:p>
    <w:p>
      <w:r>
        <w:rPr>
          <w:color w:val="555555"/>
          <w:sz w:val="17"/>
        </w:rPr>
        <w:t xml:space="preserve">Zitiervorschlag: § 58a EnergieStG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https://recht.nulegal.eu/gesetze/EnergieStG/58a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