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EnergieStG — Steuerentlastung für Betriebe der Land- und Forstwirtschaft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Eine Steuerentlastung wird auf Antrag gewährt für nachweislich nach § 2 Absatz 1 Nummer 4 versteuerte Gasöle sowie ihnen nach § 2 Absatz 4 gleichgestellte Energieerzeugnisse, die in Betrieben der Land- und Forstwirtschaft zum Betrieb von</w:t>
      </w:r>
    </w:p>
    <w:p>
      <w:pPr>
        <w:ind w:left="420"/>
      </w:pPr>
      <w:r>
        <w:t xml:space="preserve">1. Ackerschleppern,</w:t>
      </w:r>
    </w:p>
    <w:p>
      <w:pPr>
        <w:ind w:left="420"/>
      </w:pPr>
      <w:r>
        <w:t xml:space="preserve">2. standfesten oder beweglichen Arbeitsmaschinen und Motoren oder</w:t>
      </w:r>
    </w:p>
    <w:p>
      <w:pPr>
        <w:ind w:left="420"/>
      </w:pPr>
      <w:r>
        <w:t xml:space="preserve">3. Sonderfahrzeugen</w:t>
      </w:r>
    </w:p>
    <w:p>
      <w:r>
        <w:t xml:space="preserve">bei der Ausführung von Arbeiten zur Gewinnung pflanzlicher oder tierischer Erzeugnisse durch Bodenbewirtschaftung oder durch mit Bodenbewirtschaftung verbundene Tierhaltung verwendet worden sind. Eine Steuerentlastung wird abweichend von Satz 1 ebenfalls gewährt, wenn nach § 2 Absatz 1 Nummer 4 versteuerte Gasöle sowie ihnen nach § 2 Absatz 4 gleichgestellte Energieerzeugnisse in Betrieben der Imkerei zum Betrieb auch anderer als der dort aufgeführten Fahrzeuge verwendet worden sind. Eine Steuerentlastung wird jährlich für höchstens 15 Liter nach § 2 Absatz 1 Nummer 4 versteuerte Gasöle sowie ihnen nach § 2 Absatz 4 gleichgestellte Energieerzeugnisse je Bienenvolk gewährt.</w:t>
      </w:r>
    </w:p>
    <w:p>
      <w:r>
        <w:t xml:space="preserve">(2) Betriebe der Land- und Forstwirtschaft im Sinne des Absatzes 1 sind</w:t>
      </w:r>
    </w:p>
    <w:p>
      <w:pPr>
        <w:ind w:left="420"/>
      </w:pPr>
      <w:r>
        <w:t xml:space="preserve">1. Betriebe, die durch Bodenbewirtschaftung oder durch mit Bodenbewirtschaftung verbundene Tierhaltung pflanzliche oder tierische Erzeugnisse gewinnen und</w:t>
      </w:r>
    </w:p>
    <w:p>
      <w:pPr>
        <w:ind w:left="780"/>
      </w:pPr>
      <w:r>
        <w:t xml:space="preserve">a) aus denen natürliche Personen Einkünfte nach § 13 Abs. 1 Nr. 1 des Einkommensteuergesetzes erzielen oder</w:t>
      </w:r>
    </w:p>
    <w:p>
      <w:pPr>
        <w:ind w:left="780"/>
      </w:pPr>
      <w:r>
        <w:t xml:space="preserve">b) deren Inhaber eine Personenvereinigung, eine juristische Person des privaten Rechts oder eine Hauberg-, Wald-, Forst- oder Laubgenossenschaft oder eine ähnliche Realgemeinde im Sinne des § 13 Absatz 1 Nummer 4 des Einkommensteuergesetzes ist und bei denen im Falle der Gewinnung tierischer Erzeugnisse die mit der Bodenbewirtschaftung verbundene Tierhaltung die Grenzen des § 241 des Bewertungsgesetzes in der Fassung der Bekanntmachung vom 1. Februar 1991 (BGBl. I S. 230), das zuletzt durch Artikel 31 des Gesetzes vom 22. Dezember 2023 (BGBl. 2023 I Nr. 411) geändert worden ist, in der jeweils geltenden Fassung nicht überschreitet oder</w:t>
      </w:r>
    </w:p>
    <w:p>
      <w:pPr>
        <w:ind w:left="780"/>
      </w:pPr>
      <w:r>
        <w:t xml:space="preserve">c) deren Inhaber eine Körperschaft, Personenvereinigung oder Vermögensmasse ist, die ausschließlich und unmittelbar kirchliche, gemeinnützige oder mildtätige Zwecke verfolgt,</w:t>
      </w:r>
    </w:p>
    <w:p>
      <w:pPr>
        <w:ind w:left="420"/>
      </w:pPr>
      <w:r>
        <w:t xml:space="preserve">2. Imkereien, aus denen natürliche Personen Einkünfte nach § 13 Abs. 1 Nr. 2 des Einkommensteuergesetzes erzielen oder deren Inhaber eine Personenvereinigung oder eine juristische Person des privaten Rechts ist,</w:t>
      </w:r>
    </w:p>
    <w:p>
      <w:pPr>
        <w:ind w:left="420"/>
      </w:pPr>
      <w:r>
        <w:t xml:space="preserve">3. Wanderschäfereien und Teichwirtschaften,</w:t>
      </w:r>
    </w:p>
    <w:p>
      <w:pPr>
        <w:ind w:left="420"/>
      </w:pPr>
      <w:r>
        <w:t xml:space="preserve">4. Schöpfwerke zur Be- und Entwässerung land- und forstwirtschaftlich genutzter Grundstücke,</w:t>
      </w:r>
    </w:p>
    <w:p>
      <w:pPr>
        <w:ind w:left="420"/>
      </w:pPr>
      <w:r>
        <w:t xml:space="preserve">5. Betriebe, insbesondere Lohnbetriebe, Betriebe von Genossenschaften und Maschinengemeinschaften, Wasser- und Bodenverbände und Teilnehmergemeinschaften nach dem Flurbereinigungsgesetz in der Fassung der Bekanntmachung vom 16. März 1976 (BGBl. I S. 546), zuletzt geändert durch Artikel 2 Abs. 23 des Gesetzes vom 12. August 2005 (BGBl. I S. 2354), soweit diese für die in den Nummern 1 bis 3 bezeichneten Betriebe Arbeiten zur Gewinnung pflanzlicher oder tierischer Erzeugnisse durch Bodenbewirtschaftung oder durch mit Bodenbewirtschaftung verbundene Tierhaltung ausführen.</w:t>
      </w:r>
    </w:p>
    <w:p>
      <w:r>
        <w:t xml:space="preserve">(3) Als Arbeitsmaschinen oder Sonderfahrzeuge im Sinne des Absatzes 1 Satz 1 Nr. 2 und 3 gelten Maschinen und Fahrzeuge, die in Betrieben der Land- und Forstwirtschaft verwendet werden und nach ihrer Bauart und ihren Vorrichtungen für die Verwendung in diesen Betrieben geeignet und bestimmt sind.</w:t>
      </w:r>
    </w:p>
    <w:p>
      <w:r>
        <w:t xml:space="preserve">(4) Als Ausführung von Arbeiten zur Gewinnung pflanzlicher oder tierischer Erzeugnisse durch Bodenbewirtschaftung oder durch mit Bodenbewirtschaftung verbundene Tierhaltung gelten auch</w:t>
      </w:r>
    </w:p>
    <w:p>
      <w:pPr>
        <w:ind w:left="420"/>
      </w:pPr>
      <w:r>
        <w:t xml:space="preserve">1. die in Betrieben der Land- und Forstwirtschaft übliche Beförderung von land- und forstwirtschaftlichen Bedarfsgütern oder gewonnenen Erzeugnissen durch den Betrieb selbst oder durch andere Betriebe der Land- und Forstwirtschaft,</w:t>
      </w:r>
    </w:p>
    <w:p>
      <w:pPr>
        <w:ind w:left="420"/>
      </w:pPr>
      <w:r>
        <w:t xml:space="preserve">2. die Durchführung von Meliorationen auf Flächen, die zu einem bereits vorhandenen Betrieb der Land- und Forstwirtschaft gehören,</w:t>
      </w:r>
    </w:p>
    <w:p>
      <w:pPr>
        <w:ind w:left="420"/>
      </w:pPr>
      <w:r>
        <w:t xml:space="preserve">3. die Unterhaltung von Wirtschaftswegen, deren Eigentümer Inhaber eines Betriebes der Land- und Forstwirtschaft ist,</w:t>
      </w:r>
    </w:p>
    <w:p>
      <w:pPr>
        <w:ind w:left="420"/>
      </w:pPr>
      <w:r>
        <w:t xml:space="preserve">4. die Beförderung von Bienenvölkern zu den Trachten und Heimatständen sowie Fahrten zur Betreuung der Bienen.</w:t>
      </w:r>
    </w:p>
    <w:p>
      <w:r>
        <w:t xml:space="preserve">(5) Die Steuerentlastung beträgt für nachweislich nach § 2 Absatz 1 Nummer 4 versteuerte Gasöle sowie ihnen nach § 2 Absatz 4 gleichgestellte Energieerzeugnisse 214,80 Euro für 1 000 Liter.</w:t>
      </w:r>
    </w:p>
    <w:p>
      <w:r>
        <w:t xml:space="preserve">(6) (weggefallen)</w:t>
      </w:r>
    </w:p>
    <w:p>
      <w:r>
        <w:t xml:space="preserve">(7) Eine Steuerentlastung wird nur gewährt, wenn der Entlastungsbetrag nach Absatz 5 mindestens 50 Euro im Kalenderjahr beträgt.</w:t>
      </w:r>
    </w:p>
    <w:p>
      <w:r>
        <w:t xml:space="preserve">(8) Entlastungsberechtigt ist der Betrieb der Land- und Forstwirtschaft nach Absatz 2 Nummer 1 bis 4, der die Energieerzeugnisse nach Absatz 1 verwendet hat. Dabei gelten Energieerzeugnisse nach Absatz 1, die durch Betriebe nach Absatz 2 Nummer 5 bei der Ausführung von Arbeiten nach Absatz 1 Satz 1 für einen Betrieb der Land- und Forstwirtschaft nach Absatz 2 Nummer 1 bis 4 verwendet wurden, als durch den Betrieb der Land- und Forstwirtschaft verwendet, für den die Arbeiten ausgeführt wurden.</w:t>
      </w:r>
    </w:p>
    <w:p>
      <w:r>
        <w:t xml:space="preserve">(9) Die Steuerentlastung wird gewährt nach Maßgabe und bis zum Auslaufen der hierfür erforderlichen Freistellungsanzeige bei der Europäischen Kommission nach der Verordnung (EU) Nr. 651/2014. Das Auslaufen der Freistellungsanzeige ist vom Bundesministerium der Finanzen im Bundesgesetzblatt gesondert bekannt zu geben.</w:t>
      </w:r>
    </w:p>
    <w:p>
      <w:r>
        <w:rPr>
          <w:color w:val="555555"/>
          <w:sz w:val="17"/>
        </w:rPr>
        <w:t xml:space="preserve">Zitiervorschlag: § 57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