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EnergieStG — Steuerentlastung für Unternehmen</w:t>
      </w:r>
    </w:p>
    <w:p>
      <w:r>
        <w:rPr>
          <w:color w:val="555555"/>
          <w:sz w:val="18"/>
        </w:rPr>
        <w:t xml:space="preserve">Energiesteuergesetz</w:t>
      </w:r>
    </w:p>
    <w:p>
      <w:r>
        <w:rPr>
          <w:color w:val="555555"/>
          <w:sz w:val="18"/>
        </w:rPr>
        <w:t xml:space="preserve">Stand: 01.01.2026 (konsolidierte Textfassung, kein amtliches Inkrafttretensdatum)</w:t>
      </w:r>
    </w:p>
    <w:p>
      <w:r>
        <w:t xml:space="preserve">(1) Eine Steuerentlastung wird auf Antrag gewährt für Energieerzeugnisse, die nachweislich nach § 2 Absatz 3 Satz 1 Nummer 1, 3 bis 5 versteuert worden sind und von einem Unternehmen des Produzierenden Gewerbes im Sinne des § 2 Nr. 3 des Stromsteuergesetzes oder von einem Unternehmen der Land- und Forstwirtschaft im Sinne des § 2 Nr. 5 des Stromsteuergesetzes zu betrieblichen Zwecken verheizt oder in begünstigten Anlagen nach § 3 verwendet worden sind. Eine Steuerentlastung für Energieerzeugnisse, die zur Erzeugung von Wärme verwendet worden sind, wird jedoch nur gewährt, soweit die erzeugte Wärme nachweislich durch ein Unternehmen des Produzierenden Gewerbes oder ein Unternehmen der Land- und Forstwirtschaft genutzt worden ist.</w:t>
      </w:r>
    </w:p>
    <w:p>
      <w:r>
        <w:t xml:space="preserve">(1a) Absatz 1 gilt für Umwandlungs- oder Verteilverluste nur dann, wenn Unternehmen des Produzierenden Gewerbes im Sinne des § 2 Nummer 3 des Stromsteuergesetzes oder Unternehmen der Land- und Forstwirtschaft im Sinne des § 2 Nummer 5 des Stromsteuergesetzes mit der erzeugten Wärme Unternehmen des Produzierenden Gewerbes oder Unternehmen der Land- und Forstwirtschaft beliefern, die die Wärme nicht zum Ausgleich von Verlusten beziehen. Satz 1 ist nur anzuwenden, wenn die Wärme an Dritte weitergeliefert wird.</w:t>
      </w:r>
    </w:p>
    <w:p>
      <w:r>
        <w:t xml:space="preserve">(2) Die Steuerentlastung beträgt</w:t>
      </w:r>
    </w:p>
    <w:p>
      <w:r>
        <w:rPr>
          <w:rFonts w:ascii="Courier New" w:hAnsi="Courier New"/>
          <w:sz w:val="17"/>
        </w:rPr>
        <w:t xml:space="preserve">1.    für 1 000 l nach § 2 Absatz 3 Satz 1 Nummer 1 oder Nummer 3 versteuerte Energieerzeugnisse    15,34 EUR,</w:t>
      </w:r>
    </w:p>
    <w:p>
      <w:r>
        <w:rPr>
          <w:rFonts w:ascii="Courier New" w:hAnsi="Courier New"/>
          <w:sz w:val="17"/>
        </w:rPr>
        <w:t xml:space="preserve">2.    für 1 MWh nach § 2 Absatz 3 Satz 1 Nummer 4 versteuerte Energieerzeugnisse    1,38 EUR,</w:t>
      </w:r>
    </w:p>
    <w:p>
      <w:r>
        <w:rPr>
          <w:rFonts w:ascii="Courier New" w:hAnsi="Courier New"/>
          <w:sz w:val="17"/>
        </w:rPr>
        <w:t xml:space="preserve">3.    für 1 000 kg nach § 2 Absatz 3 Satz 1 Nummer 5 versteuerte Energieerzeugnisse    15,15 EUR.</w:t>
      </w:r>
    </w:p>
    <w:p>
      <w:r>
        <w:t xml:space="preserve">(3) Eine Steuerentlastung wird nur gewährt, soweit der Entlastungsbetrag nach Absatz 2 im Kalenderjahr den Betrag von 250 Euro übersteigt.</w:t>
      </w:r>
    </w:p>
    <w:p>
      <w:r>
        <w:t xml:space="preserve">(4) Entlastungsberechtigt ist derjenige, der die Energieerzeugnisse verwendet hat.</w:t>
      </w:r>
    </w:p>
    <w:p>
      <w:r>
        <w:t xml:space="preserve">(5) Die Steuerentlastung wird gewährt nach Maßgabe und bis zum Auslaufen der hierfür erforderlichen Freistellungsanzeige bei der Europäischen Kommission nach der Verordnung (EU) Nr. 651/2014. Das Auslaufen der Freistellungsanzeige ist vom Bundesministerium der Finanzen im Bundesgesetzblatt gesondert bekannt zu geben.</w:t>
      </w:r>
    </w:p>
    <w:p>
      <w:r>
        <w:rPr>
          <w:color w:val="555555"/>
          <w:sz w:val="17"/>
        </w:rPr>
        <w:t xml:space="preserve">Zitiervorschlag: § 54 EnergieStG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https://recht.nulegal.eu/gesetze/EnergieStG/54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