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EnergieStG — Steueraussetzungsverfahren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 ist ausgesetzt (Steueraussetzungsverfahren) für Energieerzeugnisse im Sinn des § 4, die</w:t>
      </w:r>
    </w:p>
    <w:p>
      <w:pPr>
        <w:ind w:left="420"/>
      </w:pPr>
      <w:r>
        <w:t xml:space="preserve">1. sich in einem Steuerlager befinden,</w:t>
      </w:r>
    </w:p>
    <w:p>
      <w:pPr>
        <w:ind w:left="420"/>
      </w:pPr>
      <w:r>
        <w:t xml:space="preserve">2. nach den §§ 10 bis 13 befördert werden.</w:t>
      </w:r>
    </w:p>
    <w:p>
      <w:r>
        <w:t xml:space="preserve">(2) Steuerlager sind</w:t>
      </w:r>
    </w:p>
    <w:p>
      <w:pPr>
        <w:ind w:left="420"/>
      </w:pPr>
      <w:r>
        <w:t xml:space="preserve">1. Herstellungsbetriebe für Energieerzeugnisse (§ 6),</w:t>
      </w:r>
    </w:p>
    <w:p>
      <w:pPr>
        <w:ind w:left="420"/>
      </w:pPr>
      <w:r>
        <w:t xml:space="preserve">2. Lager für Energieerzeugnisse (§ 7).</w:t>
      </w:r>
    </w:p>
    <w:p>
      <w:r>
        <w:t xml:space="preserve">(3) Steuerlagerinhaber im Sinn dieses Gesetzes sind Personen, denen die Erlaubnis erteilt worden ist, Energieerzeugnisse im Sinn des § 4 unter Steueraussetzung herzustellen (§ 6 Absatz 3) oder unter Steueraussetzung zu lagern (§ 7 Absatz 2).</w:t>
      </w:r>
    </w:p>
    <w:p>
      <w:r>
        <w:rPr>
          <w:color w:val="555555"/>
          <w:sz w:val="17"/>
        </w:rPr>
        <w:t xml:space="preserve">Zitiervorschlag: § 5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