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EnergieStG — Steuerentlastung bei Vermischungen von gekennzeichnetem mit anderem Gasöl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Steuerentlastung wird auf Antrag gewährt für nachweislich versteuerte Anteile in Gemischen aus ordnungsgemäß gekennzeichnetem Gasöl und anderem Gasöl bis auf den Betrag nach dem Steuersatz des § 2 Abs. 3 Satz 1 Nr. 1, wenn die Gemische</w:t>
      </w:r>
    </w:p>
    <w:p>
      <w:pPr>
        <w:ind w:left="420"/>
      </w:pPr>
      <w:r>
        <w:t xml:space="preserve">1. bei vom Hauptzollamt bewilligten Spülvorgängen oder bei vom Antragsteller nachzuweisenden versehentlichen Vermischungen entstanden und</w:t>
      </w:r>
    </w:p>
    <w:p>
      <w:pPr>
        <w:ind w:left="420"/>
      </w:pPr>
      <w:r>
        <w:t xml:space="preserve">2. nachweislich verheizt oder nach § 2 Abs. 3 Satz 1 Nr. 1 versteuertem Gasöl zugeführt worden sind.</w:t>
      </w:r>
    </w:p>
    <w:p>
      <w:r>
        <w:t xml:space="preserve">Dies gilt nicht für die Anteile von Gemischen, die bei Kraftstoffkontrollen in Fahrzeugen oder Antriebsanlagen festgestellt worden sind.</w:t>
      </w:r>
    </w:p>
    <w:p>
      <w:r>
        <w:t xml:space="preserve">(2) Entlastungsberechtigt ist der Inhaber des Betriebes, der vom Hauptzollamt zum Spülen zugelassen ist, für versehentlich entstandene Gemische der Verfügungsberechtigte.</w:t>
      </w:r>
    </w:p>
    <w:p>
      <w:r>
        <w:rPr>
          <w:color w:val="555555"/>
          <w:sz w:val="17"/>
        </w:rPr>
        <w:t xml:space="preserve">Zitiervorschlag: § 48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