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EnergieStG — Steuerentlastung beim Verbringen aus dem Steuergebiet</w:t>
      </w:r>
    </w:p>
    <w:p>
      <w:r>
        <w:rPr>
          <w:color w:val="555555"/>
          <w:sz w:val="18"/>
        </w:rPr>
        <w:t xml:space="preserve">Energiesteuergesetz</w:t>
      </w:r>
    </w:p>
    <w:p>
      <w:r>
        <w:rPr>
          <w:color w:val="555555"/>
          <w:sz w:val="18"/>
        </w:rPr>
        <w:t xml:space="preserve">Stand: 01.01.2026 (konsolidierte Textfassung, kein amtliches Inkrafttretensdatum)</w:t>
      </w:r>
    </w:p>
    <w:p>
      <w:r>
        <w:t xml:space="preserve">(1) Eine Steuerentlastung wird auf Antrag gewährt für</w:t>
      </w:r>
    </w:p>
    <w:p>
      <w:pPr>
        <w:ind w:left="420"/>
      </w:pPr>
      <w:r>
        <w:t xml:space="preserve">1. nachweislich versteuerte, nicht gebrauchte Energieerzeugnisse im Sinn des § 4, die nach § 15c oder nach § 18 in einen anderen Mitgliedstaat verbracht worden sind,</w:t>
      </w:r>
    </w:p>
    <w:p>
      <w:pPr>
        <w:ind w:left="420"/>
      </w:pPr>
      <w:r>
        <w:t xml:space="preserve">2. nachweislich versteuerte Kohle, die zu gewerblichen Zwecken aus dem Steuergebiet verbracht oder ausgeführt worden ist,</w:t>
      </w:r>
    </w:p>
    <w:p>
      <w:pPr>
        <w:ind w:left="420"/>
      </w:pPr>
      <w:r>
        <w:t xml:space="preserve">3. nachweislich versteuertes Erdgas, das zu gewerblichen Zwecken aus dem Steuergebiet verbracht oder ausgeführt worden ist,</w:t>
      </w:r>
    </w:p>
    <w:p>
      <w:pPr>
        <w:ind w:left="420"/>
      </w:pPr>
      <w:r>
        <w:t xml:space="preserve">4. nachweislich versteuerte, nicht gebrauchte Energieerzeugnisse, die zu gewerblichen Zwecken aus dem Steuergebiet verbracht oder ausgeführt worden sind, ausgenommen Energieerzeugnisse im Sinn des § 4 sowie Kohle und Erdgas,</w:t>
      </w:r>
    </w:p>
    <w:p>
      <w:pPr>
        <w:ind w:left="420"/>
      </w:pPr>
      <w:r>
        <w:t xml:space="preserve">5. nachweislich versteuerte Waren der Unterpositionen 2710 12 21, 2710 12 25, 2710 19 29 und mittelschwere Öle der Unterposition 2710 20 90 der Kombinierten Nomenklatur, wenn sie nicht als lose Ware befördert und zu gewerblichen Zwecken aus dem Steuergebiet verbracht oder ausgeführt worden sind.</w:t>
      </w:r>
    </w:p>
    <w:p>
      <w:r>
        <w:t xml:space="preserve">Abweichend von § 15c Absatz 1 muss bei der Beförderung der in Satz 1 Nummer 5 genannten Waren in andere Mitgliedstaaten ein vereinfachtes elektronisches Verwaltungsdokument nach Artikel 36 der Systemrichtlinie nicht mitgeführt werden. Satz 1 gilt nicht für Kraftstoffe in Hauptbehältern von Fahrzeugen, Spezialcontainern, Arbeitsmaschinen und -geräten sowie Kühl- und Klimaanlagen, für Kraftstoffe in Reservebehältern von Fahrzeugen und für Heizstoffe im Vorratsbehälter der Standheizung von Fahrzeugen.</w:t>
      </w:r>
    </w:p>
    <w:p>
      <w:r>
        <w:t xml:space="preserve">(2) Die Steuerentlastung wird im Fall des Absatzes 1 Satz 1 Nummer 1 nur gewährt, wenn der Entlastungsberechtigte</w:t>
      </w:r>
    </w:p>
    <w:p>
      <w:pPr>
        <w:ind w:left="420"/>
      </w:pPr>
      <w:r>
        <w:t xml:space="preserve">1. im Fall des Versandhandels das Verfahren nach § 18 eingehalten hat und die Steuer für die Energieerzeugnisse in dem anderen Mitgliedstaat entrichtet worden ist oder</w:t>
      </w:r>
    </w:p>
    <w:p>
      <w:pPr>
        <w:ind w:left="420"/>
      </w:pPr>
      <w:r>
        <w:t xml:space="preserve">2. in allen anderen Fällen</w:t>
      </w:r>
    </w:p>
    <w:p>
      <w:pPr>
        <w:ind w:left="780"/>
      </w:pPr>
      <w:r>
        <w:t xml:space="preserve">a) eine Eingangsmeldung zum vereinfachten elektronischen Verwaltungsdokument vorlegt oder</w:t>
      </w:r>
    </w:p>
    <w:p>
      <w:pPr>
        <w:ind w:left="780"/>
      </w:pPr>
      <w:r>
        <w:t xml:space="preserve">b) im Einzelfall auf andere Weise nachweisen kann, dass in einem anderen Mitgliedstaat</w:t>
      </w:r>
    </w:p>
    <w:p>
      <w:pPr>
        <w:ind w:left="1140"/>
      </w:pPr>
      <w:r>
        <w:t xml:space="preserve">aa) die Energieerzeugnisse von der Steuer befreit sind,</w:t>
      </w:r>
    </w:p>
    <w:p>
      <w:pPr>
        <w:ind w:left="1140"/>
      </w:pPr>
      <w:r>
        <w:t xml:space="preserve">bb) die Energieerzeugnisse in ein Steuerlager aufgenommen wurden oder</w:t>
      </w:r>
    </w:p>
    <w:p>
      <w:pPr>
        <w:ind w:left="1140"/>
      </w:pPr>
      <w:r>
        <w:t xml:space="preserve">cc) die Steuer entrichtet worden ist.</w:t>
      </w:r>
    </w:p>
    <w:p>
      <w:r>
        <w:t xml:space="preserve">(2a) Die Steuerentlastung wird im Fall des Absatzes 1 Satz 1 Nummer 1 auch gewährt, wenn die Energieerzeugnisse nicht am Bestimmungsort angekommen sind, die Steuer jedoch in einem anderen Mitgliedstaat auf Grund einer dort festgestellten Unregelmäßigkeit entrichtet worden ist.</w:t>
      </w:r>
    </w:p>
    <w:p>
      <w:r>
        <w:t xml:space="preserve">(2b) Wird im Fall des § 18a Absatz 2 vor Ablauf einer Frist von drei Jahren ab dem Zeitpunkt des Erwerbs der Energieerzeugnisse der Ort der Unregelmäßigkeit festgestellt und liegt dieser in einem anderen Mitgliedstaat, wird die nach § 18b Absatz 1 Nummer 4 erhobene Steuer auf Antrag des Steuerschuldners erlassen oder erstattet, wenn er den Nachweis über die Entrichtung der Steuer in diesem Mitgliedstaat vorlegt. Dies gilt nicht für die Fälle, in denen die Energieerzeugnisse im Rahmen einer Lieferung zu gewerblichen Zwecken in das Steuergebiet verbracht wurden und verblieben sind.</w:t>
      </w:r>
    </w:p>
    <w:p>
      <w:r>
        <w:t xml:space="preserve">(3) Entlastungsberechtigt ist derjenige, der die Energieerzeugnisse aus dem Steuergebiet verbracht oder ausgeführt hat.</w:t>
      </w:r>
    </w:p>
    <w:p>
      <w:r>
        <w:rPr>
          <w:color w:val="555555"/>
          <w:sz w:val="17"/>
        </w:rPr>
        <w:t xml:space="preserve">Zitiervorschlag: § 46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