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EnergieStG — Differenzversteuerung</w:t>
      </w:r>
    </w:p>
    <w:p>
      <w:r>
        <w:rPr>
          <w:color w:val="555555"/>
          <w:sz w:val="18"/>
        </w:rPr>
        <w:t xml:space="preserve">Energiesteuergesetz</w:t>
      </w:r>
    </w:p>
    <w:p>
      <w:r>
        <w:rPr>
          <w:color w:val="555555"/>
          <w:sz w:val="18"/>
        </w:rPr>
        <w:t xml:space="preserve">Stand: 10.06.2019 (konsolidierte Textfassung, kein amtliches Inkrafttretensdatum)</w:t>
      </w:r>
    </w:p>
    <w:p>
      <w:r>
        <w:t xml:space="preserve">(1) Wird nach § 2 Abs. 3 Satz 1 Nr. 4 versteuertes Erdgas nicht zu den in § 2 Abs. 3 Satz 1 und 2 genannten Zwecken abgegeben oder verwendet, entsteht die Steuer in Höhe der Differenz zu dem zutreffenden Steuersatz des § 2 Abs. 1 Nr. 7 oder Abs. 2 Nr. 1. Kann der Verbleib des Erdgases nicht festgestellt werden, gilt Satz 1 entsprechend.</w:t>
      </w:r>
    </w:p>
    <w:p>
      <w:r>
        <w:t xml:space="preserve">(2) Steuerschuldner ist, wer eine der genannten Handlungen vornimmt. Der Steuerschuldner hat für Erdgas, für das die Steuer entstanden ist, unverzüglich eine Steuererklärung abzugeben und darin die Steuer selbst zu berechnen (Steueranmeldung). Die Steuer ist sofort fällig. Das Hauptzollamt kann im Einzelfall auf Antrag eine § 39 entsprechende Regelung treffen.</w:t>
      </w:r>
    </w:p>
    <w:p>
      <w:r>
        <w:rPr>
          <w:color w:val="555555"/>
          <w:sz w:val="17"/>
        </w:rPr>
        <w:t xml:space="preserve">Zitiervorschlag: § 42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