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EnergieStG — Nicht leitungsgebundene Einfuhr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Wird Erdgas nicht leitungsgebunden in das Steuergebiet eingeführt, gilt § 19b sinngemäß mit der Maßgabe, dass keine Steuer entsteht, wenn das Erdgas unmittelbar am Ort der Einfuhr in ein Verfahren der Steuerbefreiung (§ 44 Absatz 1) überführt wird.</w:t>
      </w:r>
    </w:p>
    <w:p>
      <w:r>
        <w:t xml:space="preserve">(2) Absatz 1 gilt nicht für verflüssigtes Erdgas, dass im Anschluss an die Einfuhr in eine Anlage zur Wiederverdampfung von verflüssigtem Erdgas aufgenommen wird.</w:t>
      </w:r>
    </w:p>
    <w:p>
      <w:r>
        <w:rPr>
          <w:color w:val="555555"/>
          <w:sz w:val="17"/>
        </w:rPr>
        <w:t xml:space="preserve">Zitiervorschlag: § 41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