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EnergieStG — Anwendungsbereich</w:t>
      </w:r>
    </w:p>
    <w:p>
      <w:r>
        <w:rPr>
          <w:color w:val="555555"/>
          <w:sz w:val="18"/>
        </w:rPr>
        <w:t xml:space="preserve">Energiesteuergesetz</w:t>
      </w:r>
    </w:p>
    <w:p>
      <w:r>
        <w:rPr>
          <w:color w:val="555555"/>
          <w:sz w:val="18"/>
        </w:rPr>
        <w:t xml:space="preserve">Stand: 10.06.2019 (konsolidierte Textfassung, kein amtliches Inkrafttretensdatum)</w:t>
      </w:r>
    </w:p>
    <w:p>
      <w:r>
        <w:t xml:space="preserve">Die folgenden Energieerzeugnisse unterliegen dem Steueraussetzungsverfahren (§ 5):</w:t>
      </w:r>
    </w:p>
    <w:p>
      <w:pPr>
        <w:ind w:left="420"/>
      </w:pPr>
      <w:r>
        <w:t xml:space="preserve">1. Waren der Positionen 1507 bis 1518 der Kombinierten Nomenklatur, die dazu bestimmt sind, als Kraft- oder Heizstoff verwendet zu werden,</w:t>
      </w:r>
    </w:p>
    <w:p>
      <w:pPr>
        <w:ind w:left="420"/>
      </w:pPr>
      <w:r>
        <w:t xml:space="preserve">2. Waren der Unterpositionen 2707 10, 2707 20, 2707 30 und 2707 50 der Kombinierten Nomenklatur,</w:t>
      </w:r>
    </w:p>
    <w:p>
      <w:pPr>
        <w:ind w:left="420"/>
      </w:pPr>
      <w:r>
        <w:t xml:space="preserve">3. Waren der Unterpositionen 2710 12 bis 2710 19 68 und der Unterpositionen 2710 20 bis 2710 20 39 und mittelschwere Öle der Unterposition 2710 20 90 der Kombinierten Nomenklatur; für die Beförderung unter Steueraussetzung gilt dies für Waren der Unterpositionen 2710 12 21, 2710 12 25, 2710 19 29 und mittelschwere Öle der Unterposition 2710 20 90 der Kombinierten Nomenklatur nur dann, wenn sie als lose Ware befördert werden,</w:t>
      </w:r>
    </w:p>
    <w:p>
      <w:pPr>
        <w:ind w:left="420"/>
      </w:pPr>
      <w:r>
        <w:t xml:space="preserve">4. Waren der Position 2711 der Kombinierten Nomenklatur mit Ausnahme der Unterpositionen 2711 11, 2711 21 und 2711 29 der Kombinierten Nomenklatur,</w:t>
      </w:r>
    </w:p>
    <w:p>
      <w:pPr>
        <w:ind w:left="420"/>
      </w:pPr>
      <w:r>
        <w:t xml:space="preserve">5. Waren der Unterposition 2901 10 der Kombinierten Nomenklatur,</w:t>
      </w:r>
    </w:p>
    <w:p>
      <w:pPr>
        <w:ind w:left="420"/>
      </w:pPr>
      <w:r>
        <w:t xml:space="preserve">6. Waren der Unterpositionen 2902 20, 2902 30, 2902 41, 2902 42, 2902 43 und 2902 44 der Kombinierten Nomenklatur,</w:t>
      </w:r>
    </w:p>
    <w:p>
      <w:pPr>
        <w:ind w:left="420"/>
      </w:pPr>
      <w:r>
        <w:t xml:space="preserve">7. Waren der Unterposition 2905 11 00 der Kombinierten Nomenklatur, die nicht von synthetischer Herkunft sind und die dazu bestimmt sind, als Kraft- oder Heizstoff verwendet zu werden,</w:t>
      </w:r>
    </w:p>
    <w:p>
      <w:pPr>
        <w:ind w:left="420"/>
      </w:pPr>
      <w:r>
        <w:t xml:space="preserve">8. Waren der Unterpositionen 3811 11 10, 3811 11 90, 3811 19 00 und 3811 90 00 der Kombinierten Nomenklatur,</w:t>
      </w:r>
    </w:p>
    <w:p>
      <w:pPr>
        <w:ind w:left="420"/>
      </w:pPr>
      <w:r>
        <w:t xml:space="preserve">9. Waren der Unterpositionen</w:t>
      </w:r>
    </w:p>
    <w:p>
      <w:pPr>
        <w:ind w:left="780"/>
      </w:pPr>
      <w:r>
        <w:t xml:space="preserve">a) 3824 99 86, 3824 99 93,</w:t>
      </w:r>
    </w:p>
    <w:p>
      <w:pPr>
        <w:ind w:left="780"/>
      </w:pPr>
      <w:r>
        <w:t xml:space="preserve">b) 3824 99 92 und 3824 99 96 (jeweils ausgenommen zubereitete Rostschutzmittel, Amine als wirksame Bestandteile enthaltend, sowie zusammengesetzte anorganische Löse- und Verdünnungsmittel für Lacke und ähnliche Erzeugnisse),</w:t>
      </w:r>
    </w:p>
    <w:p>
      <w:pPr>
        <w:ind w:left="780"/>
      </w:pPr>
      <w:r>
        <w:t xml:space="preserve">c) 3826 00 10 und 3826 00 90</w:t>
      </w:r>
    </w:p>
    <w:p>
      <w:pPr>
        <w:ind w:left="420"/>
      </w:pPr>
      <w:r>
        <w:t xml:space="preserve">der Kombinierten Nomenklatur, die dazu bestimmt sind, als Kraft- oder Heizstoff verwendet zu werden.</w:t>
      </w:r>
    </w:p>
    <w:p>
      <w:r>
        <w:rPr>
          <w:color w:val="555555"/>
          <w:sz w:val="17"/>
        </w:rPr>
        <w:t xml:space="preserve">Zitiervorschlag: § 4 EnergieStG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