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EnergieStG — Einfuhr</w:t>
      </w:r>
    </w:p>
    <w:p>
      <w:r>
        <w:rPr>
          <w:color w:val="555555"/>
          <w:sz w:val="18"/>
        </w:rPr>
        <w:t xml:space="preserve">Energiesteuergesetz</w:t>
      </w:r>
    </w:p>
    <w:p>
      <w:r>
        <w:rPr>
          <w:color w:val="555555"/>
          <w:sz w:val="18"/>
        </w:rPr>
        <w:t xml:space="preserve">Stand: 13.02.2023 (konsolidierte Textfassung, kein amtliches Inkrafttretensdatum)</w:t>
      </w:r>
    </w:p>
    <w:p>
      <w:r>
        <w:t xml:space="preserve">Wird Kohle in das Steuergebiet eingeführt, gilt § 19b mit der Maßgabe sinngemäß, dass die Steuer nicht entsteht, wenn die Einfuhr durch den Inhaber einer Erlaubnis nach § 31 Absatz 4 oder § 37 Absatz 1 erfolgt oder sich die Abgabe an einen solchen unmittelbar an die Einfuhr anschließt.</w:t>
      </w:r>
    </w:p>
    <w:p>
      <w:r>
        <w:rPr>
          <w:color w:val="555555"/>
          <w:sz w:val="17"/>
        </w:rPr>
        <w:t xml:space="preserve">Zitiervorschlag: § 35 EnergieStG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https://recht.nulegal.eu/gesetze/EnergieStG/35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