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EnergieStG — Verbringen in das Steuergebiet</w:t>
      </w:r>
    </w:p>
    <w:p>
      <w:r>
        <w:rPr>
          <w:color w:val="555555"/>
          <w:sz w:val="18"/>
        </w:rPr>
        <w:t xml:space="preserve">Energiesteuergesetz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Wird Kohle aus einem Mitgliedstaat in das Steuergebiet verbracht, gelten die §§ 15 bis 15c, 16 Absatz 1 Satz 1 und Absatz 2, die §§ 18, 18b und 18c sinngemäß, es sei denn, dass im Falle des § 15 die Kohle durch den Inhaber einer Erlaubnis nach § 31 Absatz 4 oder § 37 Absatz 1 bezogen, in Besitz gehalten oder verwendet wird. Abweichend von § 15c Absatz 1 in Verbindung mit § 15c Absatz 2 Nummer 3 muss bei der Beförderung von Kohle das dort genannte Begleitdokument nicht mitgeführt werden.</w:t>
      </w:r>
    </w:p>
    <w:p>
      <w:r>
        <w:rPr>
          <w:color w:val="555555"/>
          <w:sz w:val="17"/>
        </w:rPr>
        <w:t xml:space="preserve">Zitiervorschlag: § 34 EnergieStG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https://recht.nulegal.eu/gesetze/EnergieStG/34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