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EnergieStG — Entstehung der Steuer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 entsteht vorbehaltlich der §§ 34 und 35 dadurch, dass</w:t>
      </w:r>
    </w:p>
    <w:p>
      <w:pPr>
        <w:ind w:left="420"/>
      </w:pPr>
      <w:r>
        <w:t xml:space="preserve">1. Kohle im Steuergebiet erstmals an Personen geliefert wird, die die Kohle nicht als Inhaber einer Erlaubnis nach § 31 Abs. 4 oder § 37 Abs. 1 beziehen,</w:t>
      </w:r>
    </w:p>
    <w:p>
      <w:pPr>
        <w:ind w:left="420"/>
      </w:pPr>
      <w:r>
        <w:t xml:space="preserve">2. Kohle im Steuergebiet durch Inhaber einer Erlaubnis nach § 31 Abs. 4 verwendet wird,</w:t>
      </w:r>
    </w:p>
    <w:p>
      <w:pPr>
        <w:ind w:left="420"/>
      </w:pPr>
      <w:r>
        <w:t xml:space="preserve">3. selbst gewonnene oder bearbeitete Kohle im Steuergebiet verwendet wird, soweit die Steuer nicht nach Nummer 2 entsteht.</w:t>
      </w:r>
    </w:p>
    <w:p>
      <w:r>
        <w:t xml:space="preserve">Satz 1 Nr. 2 und 3 gilt nicht, wenn zugleich die Voraussetzungen des § 37 Abs. 1 und 2 vorliegen.</w:t>
      </w:r>
    </w:p>
    <w:p>
      <w:r>
        <w:t xml:space="preserve">(2) Steuerschuldner ist</w:t>
      </w:r>
    </w:p>
    <w:p>
      <w:pPr>
        <w:ind w:left="420"/>
      </w:pPr>
      <w:r>
        <w:t xml:space="preserve">1. im Falle des Absatzes 1 Satz 1 Nr. 1 der Kohlelieferer, wenn dieser im Steuergebiet ansässig ist, andernfalls der Empfänger,</w:t>
      </w:r>
    </w:p>
    <w:p>
      <w:pPr>
        <w:ind w:left="420"/>
      </w:pPr>
      <w:r>
        <w:t xml:space="preserve">2. im Falle des Absatzes 1 Satz 1 Nr. 2 der Inhaber der Erlaubnis,</w:t>
      </w:r>
    </w:p>
    <w:p>
      <w:pPr>
        <w:ind w:left="420"/>
      </w:pPr>
      <w:r>
        <w:t xml:space="preserve">3. im Falle des Absatzes 1 Satz 1 Nr. 3 derjenige, der die Kohle verwendet.</w:t>
      </w:r>
    </w:p>
    <w:p>
      <w:r>
        <w:t xml:space="preserve">Wird Kohle zu steuerfreien Zwecken an einen Nichtberechtigten geliefert, ist im Falle der Nummer 1 neben dem Kohlelieferer auch der Nichtberechtigte Steuerschuldner.</w:t>
      </w:r>
    </w:p>
    <w:p>
      <w:r>
        <w:t xml:space="preserve">(3) Für die nach Absatz 1 entstehende Steuer ist im Voraus Sicherheit zu leisten, wenn Anzeichen für eine Gefährdung der Steuer erkennbar sind.</w:t>
      </w:r>
    </w:p>
    <w:p>
      <w:r>
        <w:t xml:space="preserve">(4) Die Kohle gilt als geliefert im Sinne des Absatzes 1 Nr. 1, wenn deren Verbleib bei der Beförderung im Steuergebiet nicht festgestellt werden kann. Dies gilt nicht für untergegangene Kohle. Schwund steht dem Untergang gleich. Neben dem Steuerschuldner nach Absatz 2 Satz 1 Nr. 1 ist derjenige Steuerschuldner, der die Kohle verwendet. Mehrere Steuerschuldner sind Gesamtschuldner.</w:t>
      </w:r>
    </w:p>
    <w:p>
      <w:r>
        <w:rPr>
          <w:color w:val="555555"/>
          <w:sz w:val="17"/>
        </w:rPr>
        <w:t xml:space="preserve">Zitiervorschlag: § 32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