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EnergieStG — Begriffsbestimmungen, Anmeldung, Erlaubnis</w:t>
      </w:r>
    </w:p>
    <w:p>
      <w:r>
        <w:rPr>
          <w:color w:val="555555"/>
          <w:sz w:val="18"/>
        </w:rPr>
        <w:t xml:space="preserve">Energiesteuergesetz</w:t>
      </w:r>
    </w:p>
    <w:p>
      <w:r>
        <w:rPr>
          <w:color w:val="555555"/>
          <w:sz w:val="18"/>
        </w:rPr>
        <w:t xml:space="preserve">Stand: 10.06.2019 (konsolidierte Textfassung, kein amtliches Inkrafttretensdatum)</w:t>
      </w:r>
    </w:p>
    <w:p>
      <w:r>
        <w:t xml:space="preserve">(1) Kohlebetriebe im Sinne dieses Gesetzes sind vorbehaltlich Absatz 2 Betriebe, in denen Kohle gewonnen oder bearbeitet wird. Kohlelieferer im Sinne dieses Gesetzes ist, wer Kohle gewerbsmäßig liefert.</w:t>
      </w:r>
    </w:p>
    <w:p>
      <w:r>
        <w:t xml:space="preserve">(2) Für Betriebe, die nicht schon aus anderen Gründen Kohlebetriebe sind, gelten das Mischen, Trocknen und Zerkleinern von Kohle nicht als Bearbeiten von Kohle.</w:t>
      </w:r>
    </w:p>
    <w:p>
      <w:r>
        <w:t xml:space="preserve">(3) Wer Kohle gewinnen oder bearbeiten will, hat dies dem zuständigen Hauptzollamt vor Eröffnung des Betriebes anzumelden.</w:t>
      </w:r>
    </w:p>
    <w:p>
      <w:r>
        <w:t xml:space="preserve">(4) Wer als Inhaber eines Kohlebetriebes oder als Kohlelieferer Kohle unversteuert beziehen will, bedarf der Erlaubnis. Sie wird auf Antrag unter Widerrufsvorbehalt Personen erteilt, gegen deren steuerliche Zuverlässigkeit keine Bedenken bestehen und die − soweit nach dem Handelsgesetzbuch oder der Abgabenordnung dazu verpflichtet − ordnungsmäßig kaufmännische Bücher führen und rechtzeitig Jahresabschlüsse aufstellen. Sind Anzeichen für eine Gefährdung der Steuer erkennbar, ist die Erlaubnis von einer Sicherheit bis zur Höhe des Steuerwerts der Kohle abhängig, die voraussichtlich im Jahresdurchschnitt in zwei Monaten vom Kohlebetrieb oder vom Kohlelieferer an Personen, die nicht im Besitz einer Erlaubnis nach § 31 Absatz 4 oder § 37 Absatz 1 sind, geliefert wird.</w:t>
      </w:r>
    </w:p>
    <w:p>
      <w:r>
        <w:t xml:space="preserve">(5) Die Erlaubnis ist zu widerrufen, wenn eine der Voraussetzungen nach Absatz 4 Satz 2 nicht mehr erfüllt ist oder eine angeforderte Sicherheit nicht geleistet wird. Die Erlaubnis kann widerrufen werden, wenn eine geleistete Sicherheit nicht mehr ausreicht.</w:t>
      </w:r>
    </w:p>
    <w:p>
      <w:r>
        <w:rPr>
          <w:color w:val="555555"/>
          <w:sz w:val="17"/>
        </w:rPr>
        <w:t xml:space="preserve">Zitiervorschlag: § 31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