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EnergieStG — Zweckwidrigkeit</w:t>
      </w:r>
    </w:p>
    <w:p>
      <w:r>
        <w:rPr>
          <w:color w:val="555555"/>
          <w:sz w:val="18"/>
        </w:rPr>
        <w:t xml:space="preserve">Energiesteuergesetz</w:t>
      </w:r>
    </w:p>
    <w:p>
      <w:r>
        <w:rPr>
          <w:color w:val="555555"/>
          <w:sz w:val="18"/>
        </w:rPr>
        <w:t xml:space="preserve">Stand: 10.06.2019 (konsolidierte Textfassung, kein amtliches Inkrafttretensdatum)</w:t>
      </w:r>
    </w:p>
    <w:p>
      <w:r>
        <w:t xml:space="preserve">(1) Die Steuer entsteht vorbehaltlich § 21 nach dem zutreffenden Steuersatz des § 2, wenn die Energieerzeugnisse entgegen der in der Erlaubnis genannten Zweckbestimmung verwendet oder abgegeben werden, nicht in den Betrieb aufgenommen werden oder der Verbleib der Energieerzeugnisse nicht festgestellt werden kann. Die Steuer entsteht nicht, wenn die Energieerzeugnisse untergegangen oder an Personen abgegeben worden sind, die zum Bezug von steuerfreien Energieerzeugnissen berechtigt sind. Darüber hinaus entsteht auch keine Steuer, wenn Energieerzeugnisse im Sinn des § 4 an Steuerlagerinhaber abgegeben werden. Schwund steht dem Untergang gleich.</w:t>
      </w:r>
    </w:p>
    <w:p>
      <w:r>
        <w:t xml:space="preserve">(2) Steuerschuldner ist der Erlaubnisinhaber, wenn er vor Entstehung der Steuer Besitz an den Energieerzeugnissen erlangt hat, sonst der Steuerlagerinhaber. Werden Energieerzeugnisse zu steuerfreien Zwecken an einen Nichtberechtigten abgegeben, ist daneben auch der Nichtberechtigte Steuerschuldner. Mehrere Steuerschuldner sind Gesamtschuldner. Der Steuerschuldner hat für Energieerzeugnisse, für die die Steuer entstanden ist, unverzüglich eine Steuererklärung abzugeben und darin die Steuer selbst zu berechnen (Steueranmeldung). Die Steuer ist sofort fällig. Das Hauptzollamt kann für Energieerzeugnisse, die entsprechend der in der Erlaubnis genannten Zweckbestimmung verwendet worden sind, ohne dabei verbraucht zu werden, auf Antrag eine § 8 Absatz 3 bis 6 entsprechende Regelung treffen; § 6 Absatz 3 Satz 2 und 3 und § 8 Absatz 7 gelten sinngemäß.</w:t>
      </w:r>
    </w:p>
    <w:p>
      <w:r>
        <w:rPr>
          <w:color w:val="555555"/>
          <w:sz w:val="17"/>
        </w:rPr>
        <w:t xml:space="preserve">Zitiervorschlag: § 30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